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PE12.015772 vom 30. April 2013</w:t>
      </w:r>
    </w:p>
    <w:p>
      <w:r>
        <w:t>VD Tribunal cantonal, 2013-04-30, FR</w:t>
      </w:r>
    </w:p>
    <w:p>
      <w:r>
        <w:rPr>
          <w:b/>
        </w:rPr>
        <w:t xml:space="preserve">Quelle: </w:t>
      </w:r>
      <w:r>
        <w:t>https://mcp.opencaselaw.ch/entscheid/vd_gerichte_PE12.015772</w:t>
      </w:r>
    </w:p>
    <w:p>
      <w:r>
        <w:t>FR: VD_GERICHTE PE12.015772 du 30 avril 2013</w:t>
      </w:r>
    </w:p>
    <w:p>
      <w:r>
        <w:t>IT: VD_GERICHTE PE12.015772 del 30 aprile 2013</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w:t>
      </w:r>
    </w:p>
    <w:p>
      <w:r>
        <w:t>- 5 - En l’espèce, il y a donc lieu d’entrer en matière sur les recours du Ministère public, qui a été interjeté en temps utile (cf. art. 384 let. b et 396 al. 1 CPP), devant l’autorité compétente (art. 13 LVCPP [loi d’introduction du code de procédure pénale suisse; RSV 312.01]; art. 80 LOJV [loi d’organisation judiciaire; RSV 173.01]) et qui satisfait aux conditions de forme posées par l’art. 385 al. 1 CPP. Sur ce dernier point, il y a lieu de constater que – contrairement à ce que soutient le prévenu dans ses déterminations du 26 avril 2013 – la motivation du Ministère public consistant à relever que le principe de proportionnalité est respecté dès lors que la peine privative de liberté subie au jour du jugement sera encore inférieure à la peine privative de liberté susceptible d'être prononcée est suffisante pour permettre à la Cour de céans d'entrer en matière sur le recours.</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ou pour des motifs de sûreté n’est possible que s’il existe, préalablement à toute autre cause, de graves soupçons de culpabilité d’avoir commis un crime ou un délit à l’égard de l’auteur présumé (TF 1B_576/2012 du 19 octobre 2012 c. 4.1; ATF 137 IV 122 c. 3.2; Schmocker, in Kuhn/Jeanneret (éd.), Commentaire romand, Code de procédure pénale suisse, Bâle 2011, nn. 7ss ad art. 221 CPP). b) Aux termes de l'art. 212 al. 3 CPP, la détention provisoire et la détention pour des motifs de sûreté ne doivent toutefois pas durer</w:t>
      </w:r>
    </w:p>
    <w:p>
      <w:r>
        <w:t>- 6 - plus longtemps que la peine privative de liberté prévisible. En vertu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Selon la jurisprudence du Tribunal fédéral, en vertu des art. 31 al. 3 Cst. (Constitution fédérale de la Confédération suisse du 18 avril 1999; RS 101) et 5 par. 3 CEDH (Convention du 4 novembre 1950 de sauvegarde des droits de l’homme et des libertés fondamentales; RS 0.101),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(cf. art. 212 al. 3 CPP).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 4.1 et les arrêts cités). Il convient d'accorder une attention particulière à cette limite, car le juge de l'action pénale pourrait être enclin à prendre en considération, lors de la fixation de la peine, la durée de la détention préventive à imputer selon l'art. 51 CP (ATF 133 I 168 c. 4.1 et les arrêts cités). Selon la jurisprudence concordante du Tribunal fédéral et de la Cour européenne des droits de l'homme, la proportionnalité de la durée de la détention doit être examinée au regard de l'ensemble des circonstances concrètes du cas d'espèce (ATF 133 I 168 c. 4.1 et les arrêts cités). Enfin, il n'appartient pas au juge de la détention de se livrer à un pronostic détaillé de la peine qui sera prononcée, mais il lui incombe uniquement de vérifier, sous l'angle de la vraisemblance, que le maintien en détention avant jugement repose sur des indices de culpabilité suffisants (cf. ATF 116 Ia 143 c. 3c p. 146 et les références citées).</w:t>
      </w:r>
    </w:p>
    <w:p>
      <w:r>
        <w:t>- 7 - c) En l'occurrence, les parties ne contestent pas, à juste titre, qu'il existe, d'une part, des indices sérieux de culpabilité et, d'autre part, un risque de fuite susceptibles de justifier le maintien de X.________ en détention pour des motifs de sûreté. S'agissant du respect du principe de proportionnalité, il ressort du dossier que le prévenu a été détenu du 11 au 19 juillet 2012, puis à compter du 20 août 2012. Au jour de l'audience, soit le 21 mai 2013, il aura donc subi un total de 284 jours de détention avant jugement, soit un peu plus de neuf mois. Toutefois, compte tenu de la gravité des infractions reprochées au recourant – les neuf cas de vol retenus dans l'acte d'accusation ne permettant pas d'exclure l'aggravante du métier à ce stade (cf. art. 139 ch. 2 CP) – et de ses nombreux antécédents – l'extrait de son casier judiciaire faisant état de sept condamnations prononcées entre 2008 et 2011 pour des actes similaires à ceux qui lui sont reprochés dans le cadre de la présente procédure –, la durée de la détention avant jugement est encore compatible avec la peine encourue concrètement en cas de condamnation. Dans l'acte d'accusation, le Ministère public a d'ailleurs requis une peine substantiellement supérieure à la détention avant jugement subie, si bien que l'on ne peut pas encore considérer à ce stade que la détention avant jugement serait "très proche" de la durée de la peine privative de liberté à laquelle il faut s'attendre concrètement en cas de condamnation. Par surabondance, il n'apparaît pas que la détention sera prolongée outrancièrement dans la mesure où la date de l'audience de jugement est fixée au 21 mai 2013, soit moins d'un mois après l'audience initialement prévue le 24 avril 2013. Enfin, dans le cas d'espèce, aucune mesure de substitution au sens de l'art. 237 CPP n'est apte à parer au risque de fuite retenu. En conséquence, la proportionnalité entre la durée totale des périodes de détention avant jugement, d'une part, et celle de la peine privative de liberté susceptible d'être prononcée, d'autre part, est et sera encore respectée jusqu'au 21 mai 2013.</w:t>
      </w:r>
    </w:p>
    <w:p>
      <w:r>
        <w:t>- 8 -</w:t>
      </w:r>
    </w:p>
    <w:p>
      <w:r>
        <w:rPr>
          <w:b/>
        </w:rPr>
        <w:t>E. 3</w:t>
      </w:r>
    </w:p>
    <w:p>
      <w:r>
        <w:t>Il résulte de ce qui précède que le recours du Ministère public doit être admis et l'ordonnance du 26 avril 2013 réformée en ce sens que la détention pour des motifs de sûreté de X.________ est ordonnée jusqu'au 21 mai 2013 au plus tard. Les frais de la procédure de recours, constitués en l’espèce de l’émolument d'arrêt, par 880 fr. (art. 20 al. 1 TFJP [tarif des frais judiciaires pénaux; RSV 312.03.1]) et des frais imputables à la défense d’office (art. 422 al. 1 et 2 let. a CPP), fixés à 360 fr., plus la TVA par 28 fr. 80, soit un total de 388 fr. 80, seront laissés à la charge de l'Etat. Par ces motifs, la Chambre des recours pénale, statuant à huis clos prononce : I. Le recours du Ministère public est admis. II. L'ordonnance du 26 avril 2013 est réformée en ce sens que la détention pour des motifs de sûreté de X.________ est ordonnée jusqu'au 21 mai 2013 au plus tard. III. L'indemnité allouée au défenseur d'office de X.________ est fixée à 388 fr. 80 (trois cent huitante-huit francs et huitante centimes), TVA comprise. IV. Les frais du présent arrêt, par 880 fr. (huit cent huitante francs), ainsi que l'indemnité due au défenseur d'office de X.________ par 388 fr. 80 (trois cent huitante-huit francs et huitante centimes), sont laissés à la charge de l'Etat. V. Le présent arrêt est exécutoire.</w:t>
      </w:r>
    </w:p>
    <w:p>
      <w:r>
        <w:t>- 9 - Le président : La greffière : Du L'arrêt qui précède, dont la rédaction a été approuvée à huis clos, est notifié, par l'envoi d'une copie complète, à : - M. Olivier Bastian, avocat (pour X.________) - Ministère public central et communiqué à : - Mme la Présidente du Tribunal des mesures de contrainte, - M. le Président du Tribunal d’arrondissement de Lausanne, - Mme la Procureure de l'arrondissement de Lausanne, - Etablissement de Champ Dollon,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