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PE12.015576 vom 26. Januar 2013</w:t>
      </w:r>
    </w:p>
    <w:p>
      <w:r>
        <w:t>VD Tribunal cantonal, 2013-01-26, FR</w:t>
      </w:r>
    </w:p>
    <w:p>
      <w:r>
        <w:rPr>
          <w:b/>
        </w:rPr>
        <w:t xml:space="preserve">Quelle: </w:t>
      </w:r>
      <w:r>
        <w:t>https://mcp.opencaselaw.ch/entscheid/vd_gerichte_PE12.015576</w:t>
      </w:r>
    </w:p>
    <w:p>
      <w:r>
        <w:t>FR: VD_GERICHTE PE12.015576 du 26 janvier 2013</w:t>
      </w:r>
    </w:p>
    <w:p>
      <w:r>
        <w:t>IT: VD_GERICHTE PE12.015576 del 26 gennaio 2013</w:t>
      </w:r>
    </w:p>
    <w:p>
      <w:pPr>
        <w:pStyle w:val="Heading2"/>
      </w:pPr>
      <w:r>
        <w:t>Erwägungen</w:t>
      </w:r>
    </w:p>
    <w:p>
      <w:r>
        <w:rPr>
          <w:b/>
        </w:rPr>
        <w:t>E. 1</w:t>
      </w:r>
    </w:p>
    <w:p>
      <w:r>
        <w:t>Durant la procédure de première instance, le prévenu et le Ministère public peuvent déposer une demande de libération de la détention pour des motifs de sûreté à la direction de la procédure du tribunal de première instance. La direction de la procédure transmet le dossier au Tribunal des mesures de contrainte si elle n'entend pas donner</w:t>
      </w:r>
    </w:p>
    <w:p>
      <w:r>
        <w:t>- 4 - une suite favorable à la demande ou en cas de désaccord du Ministère public avec la demande de libération (art. 230 CPP).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 Le recours est également ouvert, tant au Ministère public qu'au prévenu, contre les décisions du Tribunal des mesures de contrainte ordonnant des mesures de substitution au sens de l'art. 237 CPP (cf. ATF 137 IV 22 c. 1.3, 2e paragraphe). En l’espèce, il y a donc lieu d’entrer en matière sur le recours du Ministère public, qui a été interjeté en temps utile (cf. art. 384 let. b et 396 al. 1 CPP), devant l’autorité compétente (art. 13 LVCPP [loi d’introduction du code de procédure pénale suisse; RSV 312.01]; art. 80 LOJV [loi d’organisation judiciaire; RSV 173.01]) et qui satisfait aux conditions de forme posées par l’art. 385 al. 1 CPP.</w:t>
      </w:r>
    </w:p>
    <w:p>
      <w:r>
        <w:t>- 5 -</w:t>
      </w:r>
    </w:p>
    <w:p>
      <w:r>
        <w:rPr>
          <w:b/>
        </w:rPr>
        <w:t>E. 2</w:t>
      </w:r>
    </w:p>
    <w:p>
      <w:r>
        <w:t>Le litige porte uniquement sur le point de savoir si la mesure de substitution ordonnée est admissible et si elle est propre à parer efficacement au risque de récidive.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peut également être ordonnée s'il y a sérieusement lieu de craindre qu'une personne passe à l'acte après avoir menacé de commettre un crime grave (art. 221 al. 2 CPP). En application du principe de proportionnalité,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Ainsi, les mesures de substitution prévues à l'art. 237 al. 2 CPP sont un succédané à la détention provisoire qui poursuivent le même objectif – éviter la fuite, la récidive ou la collusion – tout en étant moins sévères (Schmocker, in Kuhn/Jeanneret (éd.), Commentaire romand, Code de procédure pénale suisse, Bâle 2011, n. 2 ad art. 237 CPP). Les mesures de substitution peuvent notamment consister en une obligation de se soumettre à un traitement médical ou à des contrôles (art. 237 al. 2 let. f CPP).</w:t>
      </w:r>
    </w:p>
    <w:p>
      <w:r>
        <w:rPr>
          <w:b/>
        </w:rPr>
        <w:t>E. 2.2</w:t>
      </w:r>
    </w:p>
    <w:p>
      <w:r>
        <w:t>En l'espèce, contrairement à ce que soutient le Ministère public, le fait que les experts psychiatres n’aient préconisé ni un</w:t>
      </w:r>
    </w:p>
    <w:p>
      <w:r>
        <w:t>- 6 - traitement ambulatoire ni un traitement institutionnel n’est pas déterminant, ce d'autant que leurs conclusions sont contradictoires sur la question des mesures thérapeutiques. En effet, comme l’a relevé le Tribunal des mesures de contrainte, si les experts ont certes conclu qu’une mesure thérapeutique au sens des art. 60 ss CP n’était pas envisageable, ils n’en ont pas moins indiqué dans l’expertise que G.________ présentait des ressources suffisantes pour entreprendre un traitement contre ses addictions, qu’il leur paraissait important de valoriser ses bonnes motivations au traitement et qu’il leur semblait préférable de valider ses projets de soins. Par ailleurs, si l’exécution anticipée au sens de l’art. 236 CPP d’une mesure thérapeutique au sens des art. 60 ss CP présuppose selon la jurisprudence du Tribunal fédéral (ATF 136 IV 65 c. 2.2 et les références citées) une probabilité suffisante qu’une telle mesure soit ordonnée par le juge du fond, ce point n’est pas déterminant lorsqu’il s’agit d’ordonner une mesure de substitution au sens de l’art. 237 al. 2 let. f CPP sous la forme d’une obligation de se soumettre à un traitement des addictions auprès d’une institution telle que le Centre de traitement et de réinsertion (ci-après : CTR) de la Fondation du Levant. S’agissant de l’efficacité de cette mesure de substitution, la Cour de céans ne peut que partager l’appréciation du Tribunal des mesures de contrainte. En effet, il apparaît que G.________ semble motivé à entreprendre un traitement au sein du CTR et il apparaît opportun de le lui permettre afin qu’il puisse intégrer l’institution qu’il a choisie et démontrer qu’il a la volonté de juguler sa consommation de stupéfiants. Dans ce contexte, le CTR, après avoir examiné le dossier d'admission du prévenu, a considéré qu'il pourrait bénéficier utilement d'un traitement de sa toxicomanie, étant précisé que le délai d'attente est d'un mois au minimum. En outre, un tel traitement apparaît de nature à constituer une mesure de substitution suffisamment efficace à la détention avant jugement au regard du risque de récidive, dès lors que l’encadrement et l’agenda précis du CTR constitue une garantie adéquate et suffisante, que le CTR doit informer le Tribunal d’arrondissement de la Broye et du Nord vaudois de toute violation par le recourant de ses obligations et que tout manquement est susceptible d’entraîner la révocation de la mesure de</w:t>
      </w:r>
    </w:p>
    <w:p>
      <w:r>
        <w:t>- 7 - substitution et le prononcé d’une nouvelle détention pour des motifs de sûreté (art. 237 al. 5 CPP).</w:t>
      </w:r>
    </w:p>
    <w:p>
      <w:r>
        <w:rPr>
          <w:b/>
        </w:rPr>
        <w:t>E. 3</w:t>
      </w:r>
    </w:p>
    <w:p>
      <w:r>
        <w:t>Il résulte de ce qui précède que le recours, manifestement mal fondé, doit être rejeté sans autres échanges d'écriture et l'ordonnance attaquée confirmée. Les frais de la procédure de recours, constitués en l’espèce de l'émolument d'arrêt, par 660 fr. (art. 20 al. 1 TFJP; RSV 312.03.1), seront laissés à la charge de l’Etat. Par ces motifs, la Chambre des recours pénale, statuant à huis clos prononce: I. Le recours est rejeté. II. L'ordonnance du 13 mai 2013 du Tribunal des mesures de contrainte est confirmée. III. Les frais de la procédure de recours, par 660 fr. (six cent soixante francs), sont laissés à la charge de l'Etat. IV. Le présent arrêt est exécutoire. Le président : La greffière : Du L'arrêt qui précède, dont la rédaction a été approuvée à huis clos, est notifié, par l'envoi d'une copie complète, à : - Me Charles Munoz, avocat (pour G.________), - Ministère public central,</w:t>
      </w:r>
    </w:p>
    <w:p>
      <w:r>
        <w:t>- 8 - et communiqué à : - M. le Président du Tribunal des mesures de contrainte, - Mme la Présidente du Tribunal d'arrondissement de la Broye et du Nord vaudois, - M. le Procureur de l'arrondissement du Nord vaudois,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