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PE12.013461 vom 10. Dezember 2014</w:t>
      </w:r>
    </w:p>
    <w:p>
      <w:r>
        <w:t>VD Tribunal cantonal, 2014-12-10, FR</w:t>
      </w:r>
    </w:p>
    <w:p>
      <w:r>
        <w:rPr>
          <w:b/>
        </w:rPr>
        <w:t xml:space="preserve">Quelle: </w:t>
      </w:r>
      <w:r>
        <w:t>https://mcp.opencaselaw.ch/entscheid/vd_gerichte_PE12.013461</w:t>
      </w:r>
    </w:p>
    <w:p>
      <w:r>
        <w:t>FR: VD_GERICHTE PE12.013461 du 10 décembre 2014</w:t>
      </w:r>
    </w:p>
    <w:p>
      <w:r>
        <w:t>IT: VD_GERICHTE PE12.013461 del 10 dicembre 2014</w:t>
      </w:r>
    </w:p>
    <w:p>
      <w:pPr>
        <w:pStyle w:val="Heading2"/>
      </w:pPr>
      <w:r>
        <w:t>Erwägungen</w:t>
      </w:r>
    </w:p>
    <w:p>
      <w:r>
        <w:rPr>
          <w:b/>
        </w:rPr>
        <w:t>E. 6</w:t>
      </w:r>
    </w:p>
    <w:p>
      <w:r>
        <w:t>S’agissant des cas n° 2 et 3 de l’acte d’accusation concernant les infractions commises les 12 et 13 octobre 2011, à savoir la violence ou menace contre les autorités et les fonctionnaires, d’opposition ou dérobade aux mesures visant à déterminer l’incapacité de conduire et de conduite malgré un retrait de permis, l’appelant plaide l’irresponsabilité</w:t>
      </w:r>
    </w:p>
    <w:p>
      <w:r>
        <w:t>- 26 - totale. A l’appui de son grief, il se prévaut du rapport établi le 18 mai 2012 par les médecins de Cery (Dossier B, P. 12) dont il ressort qu’à la mi- octobre 2011, il n’avait pas la capacité de se déterminer. Les premiers juges ont écarté cette pièce au motif que le rapport d’expertise était fondé sur une étude plus approfondie et plus précise du prévenu (jgt., p. 34). Cette assertion ne saurait toutefois être suivie, dès lors que l’attestation du 18 mai 2012 a été établie après une hospitalisation de quatre mois intervenue d’office en raison de l’état psychique grave du prévenu, à savoir une décompensation psychotique. Par ailleurs, l’expertise psychiatrique a été établie deux ans après les faits, de sorte que les experts ne pouvaient pas se faire une idée précise de la situation de l’intéressé en octobre 2011. Enfin, pour établir leur expertise, les médecins se sont prononcés essentiellement sur les infractions contre l’intégrité sexuelle, et non sur les faits ressortant des cas n° 2 et 3 de l’acte d’accusation. Le rapport de 18 mai 2012 ne saurait donc être écarté. Ainsi, en présence d’une attestation de médecins psychiatres dont il résulte, d’une part, que le prévenu était totalement décompensé à la mi-octobre 2011 parce qu’il ne prenait pas ses médicaments et, d’autre part, qu’il n’était pas en mesure de comprendre la portée de ses actes, son irresponsabilité totale doit être retenue s’agissant des cas n° 2 et 3 de l’acte d’accusation. V.________ doit dès lors être libéré des chefs d’accusation de violence ou menace contre les autorités et les fonctionnaires, d’opposition ou dérobade aux mesures visant à déterminer l’incapacité de conduire et de conduite malgré un retrait de permis, l’appel étant partiellement admis dans cette mesure.</w:t>
      </w:r>
    </w:p>
    <w:p>
      <w:r>
        <w:rPr>
          <w:b/>
        </w:rPr>
        <w:t>E. 7</w:t>
      </w:r>
    </w:p>
    <w:p>
      <w:r>
        <w:t>Il reste à examiner la peine à infliger au prévenu.</w:t>
      </w:r>
    </w:p>
    <w:p>
      <w:r>
        <w:rPr>
          <w:b/>
        </w:rPr>
        <w:t>E. 7.1</w:t>
      </w:r>
    </w:p>
    <w:p>
      <w:r>
        <w:t>- 27 -</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pénale(TF 6B_85/2013 du 4 mars 2013 c. 3.1; ATF 134 IV 17 c. 2.1; ATF 129 IV 6 c.</w:t>
      </w:r>
    </w:p>
    <w:p>
      <w:r>
        <w:rPr>
          <w:b/>
        </w:rPr>
        <w:t>E. 7.1.2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auquel il peut être renvoyé.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w:t>
      </w:r>
    </w:p>
    <w:p>
      <w:r>
        <w:t>- 28 -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il s'agit de diminuer la faute et non la peine; la réduction de la peine n'est que la conséquence de la faute plus légère. Le juge dispose également d'un large pouvoir d'appréciation lorsqu'il détermine l'effet de la diminution de la responsabilité sur la faute au vu de l'ensemble des circonstances. Il peut appliquer l'échelle habituelle : une faute objective très grave peut être réduite à une faute grave en raison d'une diminution légère de la responsabilité. La réduction pour une telle faute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 5.6).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(ATF 136 IV 55, JdT 2010 IV 127 c. 5.7).</w:t>
      </w:r>
    </w:p>
    <w:p>
      <w:r>
        <w:rPr>
          <w:b/>
        </w:rPr>
        <w:t>E. 7.1.3</w:t>
      </w:r>
    </w:p>
    <w:p>
      <w:r>
        <w:t>Selon l’art. 43 al. 1 CP, le juge peut suspendre partiellement l’exécution d’une peine pécuniaire, d’un travail d’intérêt général ou d’une peine pécuniaire d’un an au moins et de trois ans au plus afin de tenir</w:t>
      </w:r>
    </w:p>
    <w:p>
      <w:r>
        <w:t>- 29 -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 6.1; ATF 130 IV 1 c. 2.1; 108 IV 152 c. 3a; 106 IV 325 c. 1). La loi prévoit expressément que la règle de conduite peut porter sur des soins médicaux ou psychiques. Une règle de conduite ordonnant un suivi médical est donc parfaitement admissible (TF 6B_626/2008 précité).</w:t>
      </w:r>
    </w:p>
    <w:p>
      <w:r>
        <w:rPr>
          <w:b/>
        </w:rPr>
        <w:t>E. 7.2</w:t>
      </w:r>
    </w:p>
    <w:p>
      <w:r>
        <w:t>- 30 -</w:t>
      </w:r>
    </w:p>
    <w:p>
      <w:r>
        <w:rPr>
          <w:b/>
        </w:rPr>
        <w:t>E. 7.2.1</w:t>
      </w:r>
    </w:p>
    <w:p>
      <w:r>
        <w:t>En l’espèce, V.________ s’est rendu coupable d’injure, de menaces, de contrainte sexuelle et de viol. Ces deux dernières infractions sont particulièrement graves. Les faits commis à l’encontre de la victime l’ont été de manière répétée et sur une longue durée. Pour assouvir ses pulsions, le prévenu n’a pas pris en considération les refus de sa compagne. Il a de surcroît profité de l’amour de cette dernière, de son âge et de son inexpérience pour lui imposer des actes sexuels où et quand il le souhait. Les infractions sont en concours. La faute de l’appelant doit ainsi être considérée comme particulièrement grave. Avec les premiers juges, il faut toutefois retenir que la capacité du prévenu à se déterminer quant à ses actes était diminuée dans une mesure moyenne à importante au moment des faits. Compte tenu de cette diminution de responsabilité, sa faute, initialement estimée comme particulièrement grave, doit être qualifiée de moyenne à grave. S’agissant des facteurs liés au prévenu, il sera retenu, à charge, l’absence de prise de conscience, celui-ci persistant à nier toute responsabilité et se positionnant de surcroît en victime de sa compagne qui souhaite le priver de son fils. Il n’a en outre exprimé aucun regret à l’endroit de la plaignante. Son attitude, notamment sa collaboration, en instruction et aux débats n’a pas été bonne. A décharge, il sera tenu compte de son jeune âge au moment des faits ainsi que du temps écoulé depuis ceux-ci. Il sera également pris en considération le fait que la situation du prévenu, lequel suit régulièrement un traitement psychiatrique ambulatoire, semble s’être stabilisée. Ainsi, sur la base des éléments qui précèdent, une peine privative de liberté de 16 mois réprime adéquatement les agissements de V.________.</w:t>
      </w:r>
    </w:p>
    <w:p>
      <w:r>
        <w:rPr>
          <w:b/>
        </w:rPr>
        <w:t>E. 7.2.2</w:t>
      </w:r>
    </w:p>
    <w:p>
      <w:r>
        <w:t>En ce qui concerne le sursis, au vu de la gravité des faits reprochés, du déni massif – encore confirmé aux débats d’appel –, de l’absence de prise de conscience et de son comportement en cours de procédure, le pronostic à poser quant au comportement futur de</w:t>
      </w:r>
    </w:p>
    <w:p>
      <w:r>
        <w:t>- 31 - l’appelant est mitigé. Ainsi, contrairement à ce qu’il semble croire, ce n’est pas uniquement en raison du risque de récidive retenu par l’expert qu’un sursis complet ne peut pas lui être accordé. L’exécution de la peine privative de liberté infligée doit dès lors être suspendue pendant une période de 8 mois. Compte tenu des circonstances précitées, le délai d’épreuve sera fixé au maximum légal. Par ailleurs, pour des motifs de prévention, les règles de conduite assortissant ce délai qui ont été fixées par les premiers juges doivent être confirmées.</w:t>
      </w:r>
    </w:p>
    <w:p>
      <w:r>
        <w:rPr>
          <w:b/>
        </w:rPr>
        <w:t>E. 8</w:t>
      </w:r>
    </w:p>
    <w:p>
      <w:r>
        <w:t>L’appelant ne conteste pas en tant que telles les prétentions civiles allouées à la plaignante. Compte tenu de sa condamnation et de l’importance de l’atteinte subie par la victime en raison de ses agissements, une indemnité de 15'000 fr., plus intérêt à 5% l’an dès le 1er janvier 2004, à titre de réparation du tort moral subie, est adéquate et doit être confirmée. Il en va de même du montant de 2'800 fr. alloué à l’intimée en réparation du dommage matériel subi.</w:t>
      </w:r>
    </w:p>
    <w:p>
      <w:r>
        <w:rPr>
          <w:b/>
        </w:rPr>
        <w:t>E. 9</w:t>
      </w:r>
    </w:p>
    <w:p>
      <w:r>
        <w:t>En définitive, l’appel du prévenu doit être partiellement admis et le jugement entrepris modifié dans le sens des considérants qui précèdent.</w:t>
      </w:r>
    </w:p>
    <w:p>
      <w:r>
        <w:rPr>
          <w:b/>
        </w:rPr>
        <w:t>E. 10</w:t>
      </w:r>
    </w:p>
    <w:p>
      <w:r>
        <w:t>Vu l’issue de la cause, les frais de la présente procédure, constitués de l’émolument d’arrêt, par 2’820 fr., de l’indemnité allouée au défenseur d'office du prévenu, par 2’489 fr. 40, TVA et débours compris, et de celle due au conseil d'office de la partie plaignante, par 1’679 fr. 40, TVA et débours inclus, doivent être mis par deux tiers à la charge de V.________, le solde étant laissé à la charge de l’Etat. Ce dernier ne sera tenu de rembourser à l’Etat les deux tiers des indemnités d’office précitées que lorsque sa situation financière le permettra.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