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PE12.012994 vom 2. Juni 2020</w:t>
      </w:r>
    </w:p>
    <w:p>
      <w:r>
        <w:t>VD Tribunal cantonal, 2020-06-02, FR</w:t>
      </w:r>
    </w:p>
    <w:p>
      <w:r>
        <w:rPr>
          <w:b/>
        </w:rPr>
        <w:t xml:space="preserve">Quelle: </w:t>
      </w:r>
      <w:r>
        <w:t>https://mcp.opencaselaw.ch/entscheid/vd_gerichte_PE12.012994</w:t>
      </w:r>
    </w:p>
    <w:p>
      <w:r>
        <w:t>FR: VD_GERICHTE PE12.012994 du 2 juin 2020</w:t>
      </w:r>
    </w:p>
    <w:p>
      <w:r>
        <w:t>IT: VD_GERICHTE PE12.012994 del 2 giugno 2020</w:t>
      </w:r>
    </w:p>
    <w:p>
      <w:pPr>
        <w:pStyle w:val="Heading2"/>
      </w:pPr>
      <w:r>
        <w:t>Erwägungen</w:t>
      </w:r>
    </w:p>
    <w:p>
      <w:r>
        <w:rPr>
          <w:b/>
        </w:rPr>
        <w:t>E. 1</w:t>
      </w:r>
    </w:p>
    <w:p>
      <w:r>
        <w:t>O.________, de nationalité suisse, est né le [...] 1954. Il est veuf depuis novembre 2015 et n'a pas d'enfants. En 1999, il a fondé la société S.________SA, active dans le domaine du négoce de matières premières, dont il était l’administrateur unique. Après la faillite de la société prononcée le 1er septembre 2011, puis clôturée le 27 février 2012, O.________ a poursuivi son activité professionnelle sous la raison individuelle « [...] ». Il perçoit une rente AVS d'environ 2'200 fr. par mois et une rente de veuf d'environ 3'200 fr. par mois. Au cours de l'audience d'appel du 2 juin 2020, il a indiqué qu'il n'exerçait plus d'activité professionnelle accessoire. O.________ est propriétaire de son logement sis [...], estimé fiscalement à 280'000 fr. et qui est hypothéqué. Il n'a pas de dettes mais rembourse chaque mois 1'500 fr. à un organisme de recouvrement mandaté par le Crédit Suisse pour récupérer le solde d’une dette contractée lorsque la société S.________SA était en activité, dette qui s'élève encore à 240'000 fr. environ. Le casier judiciaire suisse d'O.________ comporte une inscription, soit une condamnation, le 21 avril 2016, par le Tribunal correctionnel de l'arrondissement de l’Est vaudois, à une peine privative de liberté de 15 mois avec sursis pendant 3 ans, pour abus de confiance qualifié.</w:t>
      </w:r>
    </w:p>
    <w:p>
      <w:r>
        <w:t>- 9 -</w:t>
      </w:r>
    </w:p>
    <w:p>
      <w:r>
        <w:rPr>
          <w:b/>
        </w:rPr>
        <w:t>E. 2</w:t>
      </w:r>
    </w:p>
    <w:p>
      <w:r>
        <w:t>Dès le début de l'activité de S.________SA, O.________ a entretenu des relations commerciales avec X.________. A partir de 2003, les deux hommes ont décidé de collaborer plus étroitement, maintenant leur partenariat professionnel jusqu'en 2010. Leurs relations étaient basées sur la confiance, de sorte que leurs affaires étaient généralement conclues par oral.</w:t>
      </w:r>
    </w:p>
    <w:p>
      <w:r>
        <w:rPr>
          <w:b/>
        </w:rPr>
        <w:t>E. 3</w:t>
      </w:r>
    </w:p>
    <w:p>
      <w:r>
        <w:t>En définitive, l'appel d'O.________ doit être partiellement admis et l'appel de X.________ rejeté. Le jugement entrepris est réformé aux chiffres I à IV de son dispositif et par l'ajout des chiffres IVbis, IVter et IVquater, en ce sens qu'O.________ est libéré du chef d'accusation d'abus de confiance, en sus de ceux déjà retenus par les premiers juges, qu'il s'est rendu coupable de banqueroute frauduleuse et fraude dans la saisie, gestion fautive et faux dans les titres, qu'il est condamné à une peine privative de liberté de 6 mois avec sursis pendant 3 ans, cette peine étant entièrement complémentaire à celle prononcée le 21 avril 2016 par le Tribunal correctionnel de l'arrondissement de l’Est vaudois, et que X.________ est renvoyé à agir par la voie civile. S'agissant des frais de première instance, dès lors qu'O.________ est libéré du chef d'accusation d'abus de confiance pour les deux premiers cas de l'acte d'accusation, il devra s'acquitter de la moitié des frais de première instance ([28'979 fr. 10 – 11'610 fr. 05] / 2), soit 8'684 fr., le solde étant laissé à la charge de l'Etat. L'appelant a droit une indemnité réduite de 4'300 fr., TVA et débours compris, pour les dépenses occasionnées par l'exercice raisonnable de ses droits de procédure au sens de l'art. 429 al. 1 let. a CPP. Selon l'art. 442 al. 4 CPP, les frais judiciaires par 8'684 fr. seront compensés avec l’indemnité de 4'300 fr., de sorte que le solde dû par O.________ à l'Etat s'élève en définitive à 4'384 francs.</w:t>
      </w:r>
    </w:p>
    <w:p>
      <w:r>
        <w:rPr>
          <w:b/>
        </w:rPr>
        <w:t>E. 4</w:t>
      </w:r>
    </w:p>
    <w:p>
      <w:r>
        <w:t>Les frais d'appel du jugement de la Cour de céans du 16 mai 2019, par 8'051 fr. 60, constitués de l'émolument d'appel par 2'820 fr., de</w:t>
      </w:r>
    </w:p>
    <w:p>
      <w:r>
        <w:t>- 14 - l'indemnité du défenseur d'office d'O.________ par 1'513 fr. 40 et de l'indemnité du conseil juridique gratuit de X.________ par 3'718 fr. 20, seront mis par un quart à la charge de l'appelant O.________ qui succombe partiellement et par moitié à la charge de l'appelant X.________ qui succombe entièrement (art. 428 al. 1 CPP), le solde étant laissé à la charge de l'Etat. L'appelant O.________ ne sera tenu de rembourser à l’Etat le quart de l’indemnité en faveur de son défenseur d’office que lorsque sa situation financière le permettra. L'appelant X.________ ne sera tenu de rembourser à l'Etat la moitié de l'indemnité en faveur de son conseil juridique gratuit que lorsque sa situation financière le permettra.</w:t>
      </w:r>
    </w:p>
    <w:p>
      <w:r>
        <w:rPr>
          <w:b/>
        </w:rPr>
        <w:t>E. 5</w:t>
      </w:r>
    </w:p>
    <w:p>
      <w:r>
        <w:t>Me Jean de Gautard, défenseur d'office d'O.________, s'en est remis à l'appréciation de la Cour de céans quant à la quotité de son indemnité d'office pour la procédure d'appel après l'arrêt du Tribunal fédéral. Au vu du travail accompli, il sera retenu 3 h de travail au tarif horaire de 180 fr. (art. 2 al. 1 let. a et 3 al. 2 RAJ [règlement sur l'assistance judiciaire en matière civile du 7 décembre 2010 ; BLV 211.02.3], par renvoi de l'art. 26b TFIP [tarif des frais de procédure et indemnités en matière pénale du 28 septembre 2010 ; BLV 312.03.1]), soit 540 francs. S'y ajoutent 2 % pour les débours (art. 3bis RAJ par renvoi de l'art. 26b TFIP), soit 10 fr. 80, et une vacation à 120 fr., de sorte que l'indemnité d'office s'élève au total à 722 fr. 45, TVA par 7,7 % incluse. Me Vladimir Chautems, conseil juridique gratuit de X.________, a produit une liste d'opérations pour la procédure d'appel après l'arrêt du Tribunal fédéral, indiquant 8,05 h de travail. Dans le calcul de l'indemnité de la précédente procédure d'appel, il a déjà été tenu compte d'une heure de travail pour les activités postérieures au jugement de la Cour d'appel pénale du 16 mai 2019 (P. 155, p. 2), de sorte que ce montant doit être déduit. Les deux conférences avec le client n'apparaissent pas nécessaires, dès lors qu'il s'agit d'une affaire connue depuis plusieurs années et que l'intimé avait déjà reçu un « courriel explicatif » le</w:t>
      </w:r>
    </w:p>
    <w:p>
      <w:r>
        <w:rPr>
          <w:b/>
        </w:rPr>
        <w:t>E. 6</w:t>
      </w:r>
    </w:p>
    <w:p>
      <w:r>
        <w:t>décembre 2019. Il sera par conséquent retenu 5 h d'activité en chiffres</w:t>
      </w:r>
    </w:p>
    <w:p>
      <w:r>
        <w:t>- 15 - ronds. Au tarif horaire de 180 fr., le défraiement s'élève à 900 francs. S'y ajoutent 2 % pour les débours, soit 18 fr., et une vacation à 120 fr., de sorte que l'indemnité d'office s'élève au total à 1'117 fr. 95, TVA par 7,7 % incluse. Vu l'issue de la cause, les frais d'appel postérieurs à l’arrêt du Tribunal fédéral du 28 novembre 2019, constitués de l'émolument du présent jugement par 1’390 fr. (art. 21 al. 1 TFIP), de l'indemnité du défenseur d'office d'O.________ par 722 fr. 45 et de l'indemnité du conseil juridique gratuit de X.________ par 1'117 fr. 95, soit au total 3’230 fr. 40, sont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