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PE12.011201 vom 10. Juli 2012</w:t>
      </w:r>
    </w:p>
    <w:p>
      <w:r>
        <w:t>VD Tribunal cantonal, 2012-07-10, FR</w:t>
      </w:r>
    </w:p>
    <w:p>
      <w:r>
        <w:rPr>
          <w:b/>
        </w:rPr>
        <w:t xml:space="preserve">Quelle: </w:t>
      </w:r>
      <w:r>
        <w:t>https://mcp.opencaselaw.ch/entscheid/vd_gerichte_PE12.011201</w:t>
      </w:r>
    </w:p>
    <w:p>
      <w:r>
        <w:t>FR: VD_GERICHTE PE12.011201 du 10 juillet 2012</w:t>
      </w:r>
    </w:p>
    <w:p>
      <w:r>
        <w:t>IT: VD_GERICHTE PE12.011201 del 10 luglio 2012</w:t>
      </w:r>
    </w:p>
    <w:p>
      <w:pPr>
        <w:pStyle w:val="Heading2"/>
      </w:pPr>
      <w:r>
        <w:t>Volltext</w:t>
      </w:r>
    </w:p>
    <w:p>
      <w:r>
        <w:t>TRIBUNAL CANTONAL 546 PE12.011201-SDE CHAMBRE DE S RECO URS PEN ALE __________________________________________ Séance du 14 septembre 2012 __________________ Présidence de M. KRIEGER, président Juges : M. Abrecht et Mme Byrde Greffière : Mme Mirus ***** Art. 221 al. 1 let. a et b, 222, 228, 393 al. 1 let. c CPP Vu l'enquête n° PE12.011201-ADY instruite par le Ministère public de l'arrondissement de Lausanne contre J.________ pour vol, tentative de vol, dommages à la propriété, violation de domicile, blanchiment d'argent, infractions à la LCR (Loi fédérale sur la circulation routière du 19 décembre 1958, RS 741.01) et contravention à la LStup (Loi fédérale du 3 octobre 1951 sur les stupéfiants et les substances psychotropes, RS 812.121), d'office et sur diverses plaintes, vu l'appréhension de J.________ en date du 8 juillet 2012, vu l'ordonnance du 10 juillet 2012, par laquelle le Tribunal des mesures de contrainte a ordonné la détention provisoire de J.________ (I), a fixé la durée maximale de la détention provisoire à trois mois, soit au plus tard jusqu'au 8 octobre 2012 (II), et a dit que les frais de la décision suivaient le sort de la cause (III), 351</w:t>
      </w:r>
    </w:p>
    <w:p>
      <w:r>
        <w:t>- 2 - vu la demande de libération de la détention provisoire de J.________ du 21 août 2012, vu les déterminations du procureur du 24 août 2012, concluant au rejet de cette demande, vu l'ordonnance du 3 septembre 2012, par laquelle le Tribunal des mesures de contrainte a rejeté la demande de libération de la détention provisoire de J.________ (I) et a dit que les frais de la décision suivaient le sort de la cause (II), vu le recours interjeté le 12 septembre 2012 par J.________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w:t>
      </w:r>
    </w:p>
    <w:p>
      <w:r>
        <w:t>- 3 - Kuhn/Jeanneret (éd.), Commentaire romand, Code de procédure pénale suisse, Bâle 2011, nn. 7ss ad art. 221 CPP, pp. 1024 ss), qu'en l'espèce, le recourant est mis en cause pour s'être introduit, le 6 mai 2012, dans un appartement à Lausanne, en compagnie de deux complices, et pour y avoir dérobé notamment des bijoux, qu'il a été interpellé en flagrant délit et placé en détention provisoire jusqu'au 7 juin 2012, qu'il est en outre reproché à J.________ d'avoir brisé les vitres de la porte d'un kiosque à Lausanne, d'y avoir pénétré, d'avoir fouillé les lieux en occasionnant beaucoup de dégâts, et d'y avoir dérobé environ cent trente cartouches de cigarettes, ainsi que tous les billets de loterie pour un montant inconnu, et ce dans la nuit du 14 au 15 juin 2012, soit seulement une semaine après sa libération de la détention provisoire, qu'une analyse ADN a permis de déterminer que le sang retrouvé sur les bris de la vitrine du kiosque était celui du recourant, que certes, ce dernier prétend s'être retrouvé par hasard sur les lieux du cambriolage et s'être coupé le doigt, en raison des bris de verre, en ramassant des paquets de cigarettes qui se trouvaient au sol (cf. PV aud. 7, p. 2, l. 48; PV aud. 9, p. 3, D. 7 à 9), que toutefois, en raison des faits précités survenus le 6 mai 2012 et des antécédents de J.________, le fait que le sang de ce dernier ait été retrouvé sur les bris de la vitrine du kiosque constitue de toute évidence un indice permettant de penser que ce dernier est impliqué dans ledit cambriolage, qu'à cet égard, il sied de préciser que le recourant a déjà été condamné, le 5 avril 2012, à une amende de 500 fr., convertible en cinq jours de peine privative de liberté de substitution, pour vol d'importance mineure et contravention à la LStup (cf. P. 19), que pour des faits commis en 2011, il a en outre été condamné, le 6 septembre 2012, à une peine privative de liberté de huit mois, sous déduction de cent septante-trois jours de détention préventive, ainsi qu'à une amende de 500 fr., convertible en seize jours de peine privative de liberté de substitution, pour vol, tentative de vol, dommages à la propriété, violation de domicile, tentative de violation de domicile et contravention à la LStup (cf. P. 44),</w:t>
      </w:r>
    </w:p>
    <w:p>
      <w:r>
        <w:t>- 4 - qu'enfin, l'intéressé a admis consommer de l'héroïne, de la marijuana, du haschisch, du Dormicum, du Rivotril, de la méthadone et de la cocaïne, parfois plusieurs fois par jour (PV aud. 5, 6 et 7), qu'ainsi, au vu de ce qui précède et de l'ensemble des éléments figurant au dossier, il existe contre le recourant des présomptions de culpabilité suffisantes; attendu que l’ordonnance entreprise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J.________ est un ressortissant géorgien, sans domicile et en séjour illégal, qu'il n'a aucune attache en Suisse, que compte tenu des charges qui pèsent sur lui, il existe un risque concret qu'il se soustraie aux opérations de l'enquête, en prenant la fuite ou en retournant dans la clandestinité, qu'aucune mesure de substitution n'est susceptible de garantir sa présence aux débats de première instance (art. 212 al. 2 let. c CPP); attendu que la décision attaquée se fonde également sur le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w:t>
      </w:r>
    </w:p>
    <w:p>
      <w:r>
        <w:t>- 5 -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des mesures d'instruction, visant notamment à identifier les complices du recourant et à localiser le père de ce dernier, qui avait déjà été coauteur par le passé, sont actuellement en cours, que le résultat de ces investigations pourrait être compromis si le recourant venait à être remis en liberté, qu'en effet, il est fort à craindre que ce dernier fasse disparaître des preuves ou se concerte avec des tiers, en vue de faire obstacle à la manifestation de la vérité, qu'à ce stade, le risque de collusion s'oppose dès lors à la libération de la détention provisoire du recourant, qu'en outre, aucune mesure de substitution ne saurait éliminer ce risque; attendu que le maintien du recourant en détention provisoire étant justifié tant par le risque de fuite que par le risque de collusion, on peut s'abstenir d'examiner s'il l'est également par le risque de récidive (Schmocker, op, cit., n. 11 ad art. 221 CPP; Piquerez, Traité de procédure pénale suisse, 2e éd., Zurich 2006, n. 841, p. 535); attendu, pour le surplus,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8 juillet 2012, que, compte tenu de la détention provisoire subie entre le 6 mai et le 7 juin 2012, il a à ce jour été détenu provisoirement pendant un peu plus de trois mois dans le cadre de la présente instruction,</w:t>
      </w:r>
    </w:p>
    <w:p>
      <w:r>
        <w:t>- 6 - qu'au vu des actes reprochés au recourant et de la durée de la détention provisoire subie, le principe de la proportionnalité demeure respecté (art. 212 al. 3 CPP; ATF 133 I 168 c. 4.1, et les références citée); attendu, en définitive, que le recours doit être rejeté et l’ordonnance attaquée confirmée, que les frais de la procédure de recours, constitués en l’espèce de l’émolument d'arrêt, par 660 fr. (art. 20 al. 1 TFJP [tarif des frais judiciaires pénaux; RSV 312.03.1]), ainsi que des frais imputables à la défense d’office (art. 422 al. 1 et 2 let. a CPP), fixés à 450 fr., plus la TVA par 36 fr., soit au total 486 fr., sont mis à la charge du recourant, qui succombe (art. 428 al. 1 CPP), que le remboursement à l'Etat de l'indemnité allouée au défenseur d'office de J.________ ne sera toutefois exigible que pour autant que la situation économique de ce dernier se soit améliorée (art. 135 al. 4 CPP). Par ces motifs, la Chambre des recours pénale, statuant à huis clos : I. Rejette le recours. II. Confirme l'ordonnance attaquée. III. Fixe à 486 fr. (quatre cent huitante-six francs) l'indemnité allouée au défenseur d'office de J.________. IV. Dit que l'émolument d'arrêt, par 660 fr. (six cent soixante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J.________ se soit améliorée. VI. Déclare le présent arrêt exécutoire.</w:t>
      </w:r>
    </w:p>
    <w:p>
      <w:r>
        <w:t>- 7 - Le président : La greffière : Du L'arrêt qui précède, dont la rédaction a été approuvée à huis clos, est notifié, par l'envoi d'une copie complète, à : - M. Cédric Thaler, avocat (pour J.________), - Ministère public central; et communiqué à : - Mme la Présidente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