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PE12.010918 vom 16. Juli 2012</w:t>
      </w:r>
    </w:p>
    <w:p>
      <w:r>
        <w:t>VD Tribunal cantonal, 2012-07-16, FR</w:t>
      </w:r>
    </w:p>
    <w:p>
      <w:r>
        <w:rPr>
          <w:b/>
        </w:rPr>
        <w:t xml:space="preserve">Quelle: </w:t>
      </w:r>
      <w:r>
        <w:t>https://mcp.opencaselaw.ch/entscheid/vd_gerichte_PE12.010918</w:t>
      </w:r>
    </w:p>
    <w:p>
      <w:r>
        <w:t>FR: VD_GERICHTE PE12.010918 du 16 juillet 2012</w:t>
      </w:r>
    </w:p>
    <w:p>
      <w:r>
        <w:t>IT: VD_GERICHTE PE12.010918 del 16 luglio 2012</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L'art. 310 al. 1 CPP prévoit que le ministère public rend immédiatement une ordonnance de non-entrée en matière lorsqu'il apparaît, à réception de la dénonciation (cf. art. 301 s. CPP) ou de la plainte (Cornu, in : Kuhn/Jeanneret [éd.], Commentaire romand, Code de procédure pénale suisse, Bâle 2011,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En d'autres termes, il faut que le comportement dénoncé apparaisse d’emblée comme non punissable (Cornu, op. cit., n. 10 ad art. 310 CPP). Au vu de ce qui précède, on doit admettre qu'une ordonnance de non-entrée en matière peut également être rendue lorsqu'il apparaît d'emblée que l'inculpé pourra se prévaloir d'un fait justificatif, puisque, de fait, son comportement apparaît ainsi également comme non punissable (CREP du 3 août 2012/490).</w:t>
      </w:r>
    </w:p>
    <w:p>
      <w:r>
        <w:rPr>
          <w:b/>
        </w:rPr>
        <w:t>E. 3</w:t>
      </w:r>
    </w:p>
    <w:p>
      <w:r>
        <w:t>Aux termes de l'art. 173 ch. 1 CP, se rend coupable de diffamation, celui qui, en s’adressant à un tiers, aura accusé une personne ou jeté sur elle le soupçon de tenir une conduite contraire à l’honneur, ou</w:t>
      </w:r>
    </w:p>
    <w:p>
      <w:r>
        <w:t>- 4 - de tout autre fait propre à porter atteinte à sa considération, ou celui qui aura propagé une telle accusation ou un tel soupçon. Selon la jurisprudence, la question de savoir si une personne est directement atteinte dans son honneur par des propos contenus dans un article de presse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(TF 6S.504/2005 du 28 février 2006; ATF 117 IV 27). Enfin, l'inculpé n'encourt aucune peine s'il prouve que les allégations qu'il a articulées ou propagées sont conformes à la vérité ou qu'il avait des raisons sérieuses de les tenir de bonne foi pour vraies (art. 173 ch. 2 CP). Le chiffre 3 de cette même disposition émet une réserve à l'utilisation des preuves libératoires, en ce sens que l’inculpé de diffamation n'est pas admis à faire ces preuves – et il est donc punissable – si ses allégations ont été articulées ou propagées sans égard à l’intérêt public ou sans autre motif suffisant, principalement dans le dessein de dire du mal d’autrui, notamment lorsqu’elles ont trait à la vie privée ou à la vie de famille. Selon la jurisprudence, les deux conditions du chiffre 3 doivent être réunies cumulativement. Ainsi, la preuve libératoire ne peut être refusée que si l'auteur s'est exprimé sans motif suffisant et s'il a agi principalement dans le dessein de dire du mal d'autrui (ATF 116 IV 31 c. 3; ATF 116 IV 205 c. 3b).</w:t>
      </w:r>
    </w:p>
    <w:p>
      <w:r>
        <w:t>- 5 - b) En l'espèce, c'est à tort que le recourant soutient que le journal [...] se serait rendu coupable de diffamation. En effet, tout d'abord, l'article incriminé ne contient aucun renseignement personnel concernant le recourant (âge, domicile, etc.). Dès lors, il ne permet pas d'identifier B.________, qui n'est reconnaissable que pour les personnes déjà au courant de son identité. Pour ce motif, l'infraction de diffamation n'est manifestement pas réalisée et l'ordonnance de non-entrée en matière ne prête pas le flanc à la critique. Dès lors, la question de savoir si les allégations du journaliste selon lesquelles "l’homme n’en [était] pas à son premier coup du genre" doivent être interprétées comme se rapportant au "début de bagarre" engendré par le recourant ou au "comportement pervers" de celui-ci peut rester ouverte. A cet égard, on relèvera toutefois qu'il n'existerait aucun motif de priver le journaliste de son droit de se prévaloir d'une preuve libératoire (art. 173 al. 3 CP) et qu'au vu des éléments au dossier, celui-ci n'aurait aucune peine à faire la preuve de la vérité en démontrant que le recourant a un passé judiciaire, B.________ lui-même admettant avoir fait l'objet d'une précédente condamnation en 2006 pour injure et avoir injurié les agents de sécurité du carnaval en mars 2012. Dès lors, pour ce motif également, le comportement du journaliste apparaît d'emblée comme non punissable. Au vu de ces éléments, la décision attaquée n'est pas critiquable en tant qu'elle considère que l'article incriminé n'est pas constitutif de diffamation, sans qu'une quelconque instruction ne se justifie sur ce point.</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550 fr. (art. 20 al. 1 TFJP; RSV 312.03.1) seront mis à la charge du recourant, qui succombe (art. 428 al. 1 CPP).</w:t>
      </w:r>
    </w:p>
    <w:p>
      <w:r>
        <w:t>- 6 - Par ces motifs, la Chambre des recours pénale, statuant à huis clos, prononce : I. Le recours est rejeté. II. L'ordonnance attaquée est confirmée. III. Les frais d'arrêt, par 550 fr. (cinq cent cinquante francs), sont mis à la charge de B.________. IV. Le présent arrêt est exécutoire. Le président : La greffière : Du L'arrêt qui précède, dont la rédaction a été approuvée à huis clos, est notifié, par l'envoi d'une copie complète, à : - M. B.________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w:t>
      </w:r>
    </w:p>
    <w:p>
      <w:r>
        <w:t>- 7 -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