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PE12.010683 vom 8. März 2016</w:t>
      </w:r>
    </w:p>
    <w:p>
      <w:r>
        <w:t>VD Tribunal cantonal, 2016-03-08, FR</w:t>
      </w:r>
    </w:p>
    <w:p>
      <w:r>
        <w:rPr>
          <w:b/>
        </w:rPr>
        <w:t xml:space="preserve">Quelle: </w:t>
      </w:r>
      <w:r>
        <w:t>https://mcp.opencaselaw.ch/entscheid/vd_gerichte_PE12.010683</w:t>
      </w:r>
    </w:p>
    <w:p>
      <w:r>
        <w:t>FR: VD_GERICHTE PE12.010683 du 8 mars 2016</w:t>
      </w:r>
    </w:p>
    <w:p>
      <w:r>
        <w:t>IT: VD_GERICHTE PE12.010683 del 8 marzo 2016</w:t>
      </w:r>
    </w:p>
    <w:p>
      <w:pPr>
        <w:pStyle w:val="Heading2"/>
      </w:pPr>
      <w:r>
        <w:t>Erwägungen</w:t>
      </w:r>
    </w:p>
    <w:p>
      <w:r>
        <w:rPr>
          <w:b/>
        </w:rPr>
        <w:t>E. 4</w:t>
      </w:r>
    </w:p>
    <w:p>
      <w:r>
        <w:t>L’appelant a conclu à sa libération du chef d’accusation de dénonciation calomnieuse. Il soutient en substance que l’élément subjectif ferait défaut parce qu’il aurait cru au bien-fondé de ses allégations de maltraitance envers F.________ et C.________.</w:t>
      </w:r>
    </w:p>
    <w:p>
      <w:r>
        <w:rPr>
          <w:b/>
        </w:rPr>
        <w:t>E. 4.1</w:t>
      </w:r>
    </w:p>
    <w:p>
      <w:r>
        <w:t>L'art. 303 ch. 1 CP (Code pénal suisse du 21 décembre 1937 ; RS 311.0) prévoit que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des ressources publiques. Elle protège toutefois également les droits de la personnalité de celui qui est accusé faussement, notamment son honneur, sa liberté, sa sphère privée ou ses biens (ATF 136 IV 170 consid. 2.1 ; ATF 132 IV 20 consid. 4.1).</w:t>
      </w:r>
    </w:p>
    <w:p>
      <w:r>
        <w:t>- 16 -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consid. 2 ; ATF 76 IV 244),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(cf. Corboz, Les infractions en droit suisse, vol. I, 3e éd., 2010, ad art. 174 CP).</w:t>
      </w:r>
    </w:p>
    <w:p>
      <w:r>
        <w:rPr>
          <w:b/>
        </w:rPr>
        <w:t>E. 4.2</w:t>
      </w:r>
    </w:p>
    <w:p>
      <w:r>
        <w:t>S’agissant de l’intervention de la police du 9 janvier 2011 et du dépôt de la plainte pénale du 3 novembre 2011, il faut relever, comme on l’a vu, que les accusations de violation du devoir d’assistance ou d’éducation dénoncées par l’appelant sont fausses. L’intervention de la police au domicile de F.________ et C.________ n’a en effet pas permis d’établir que ce dernier se trouvait sous l’influence de l’alcool et de la drogue alors qu’il gardait les enfants du couple, de sorte qu’O.________ a inventé cette accusation de toute pièce pour solliciter l’intervention de la gendarmerie (cf. P. 5, p. 7). Il en va de même en ce qui concerne le dépôt de sa plainte. L’appelant savait de toute évidence que les accusations qu’il avait dénoncées à cet égard n’étaient pas fondées, puisqu’il s’est servi de [...], qui croyait signer une attestation mentionnant simplement qu’il avait accompagné O.________ pour chercher ses enfants, en lui mentant pour lui extorquer un faux témoignage (cf. PV aud. 5, pp. 3-4 ; P. 4). En agissant de la sorte, l’appelant a trahi son intention dolosive, soit celle d’obtenir l’ouverture d’une enquête pénale contre son ex-compagne et C.________. Partant, l’appelant ne saurait soutenir avoir pu croire à la véracité de ses allégations. Ce n’est enfin qu’à l’issue d’une instruction pénale</w:t>
      </w:r>
    </w:p>
    <w:p>
      <w:r>
        <w:t>- 17 - approfondie que F.________ et C.________ ont pu être mis hors de cause pour les délits dénoncés par ordonnance de classement du 13 juin 2012, laquelle a ensuite été confirmée par la Chambre des recours pénale du Tribunal cantonal le 8 octobre 2012. Au regard de ce qui précède, les conditions objectives et subjective de l’infraction de dénonciation calomnieuse sont en l’espèce réalisées pour ce cas, de sorte que la condamnation de l’appelant doit être confirmée.</w:t>
      </w:r>
    </w:p>
    <w:p>
      <w:r>
        <w:rPr>
          <w:b/>
        </w:rPr>
        <w:t>E. 4.3</w:t>
      </w:r>
    </w:p>
    <w:p>
      <w:r>
        <w:t>O.________ a à nouveau déposé plainte le 9 juillet 2012, soit cinq semaines après l’ordonnance de classement du Procureur, contre F.________ pour le même type de faits que précédemment, ayant eu pour effet de provoquer une nouvelle fois l’ouverture d’une procédure pénale. Il reprochait en substance à cette dernière de mettre en danger le développement de leurs enfants en raison de sa consommation et de son trafic de produits stupéfiants. S’il est admis que F.________ consommait occasionnellement du cannabis, aucun élément au dossier ne permet de retenir qu’elle s’adonnerait à cette addiction et qu’elle ferait du trafic illégal en présence de ses enfants. Par ailleurs, outre le fait que, comme cela a été exposés ci-dessus (cf. consid. 3.2 et 4.2 ci-dessus), l’appelant cherche par tous les moyens à nuire à la prénommée et au compagnon de celle-ci en multipliant les déclarations fantaisistes et contraires à la réalité, il y a lieu de relever que, là encore, F.________ a fait l’objet d’une ordonnance de classement en date du 14 mars 2014. A la lecture de cette ordonnance, force est de constater que le Procureur a libéré l’intéressée sans le moindre doute, en expliquant notamment que les différents rapports établis par le SPJ mentionnaient nullement que la plaignante ait, par son comportement, mis en danger le développement physique et psychique de ses enfants. C’est donc en vain que l’appelant tente de plaider les thèses libératoires pour échapper à une condamnation. Au reste, il n’a pas contesté cette ordonnance par la voie du recours. Partant, la condamnation d’O.________ pour dénonciation calomnieuse doit être confirmée pour ce cas également.</w:t>
      </w:r>
    </w:p>
    <w:p>
      <w:r>
        <w:t>- 18 -</w:t>
      </w:r>
    </w:p>
    <w:p>
      <w:r>
        <w:rPr>
          <w:b/>
        </w:rPr>
        <w:t>E. 5</w:t>
      </w:r>
    </w:p>
    <w:p>
      <w:r>
        <w:t>L’appelant conteste sa condamnation pour calomnie.</w:t>
      </w:r>
    </w:p>
    <w:p>
      <w:r>
        <w:rPr>
          <w:b/>
        </w:rPr>
        <w:t>E. 5.1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Sur le plan subjectif, la calomnie implique que l'auteur ait agi avec l'intention de tenir des propos attentatoires à l'honneur d'autrui et de les communiquer à des tiers, le dol éventuel étant à cet égard suffisant (Corboz, op. cit., n. 11 ad art. 174 CP). Il doit, en outre, avoir su ses allégations fausses. Sur ce point, le dol éventuel n'est pas suffisant (TF 6B_498/2012 et les références citées). La preuve libératoire est exclue (TF 6B_201/2009 consid. 2.1).</w:t>
      </w:r>
    </w:p>
    <w:p>
      <w:r>
        <w:rPr>
          <w:b/>
        </w:rPr>
        <w:t>E. 5.2</w:t>
      </w:r>
    </w:p>
    <w:p>
      <w:r>
        <w:t>Alors qu’il savait que l’enquête pénale ouverte consécutivement à sa plainte du 9 juillet 2012 était en cours contre son ex-compagne, O.________ a encore écrit, le 1er mai 2013, un e-mail au collaborateur du SPJ en charge de suivre la situation de ses enfants pour lui dire que F.________ n’était plus en mesure de s’occuper de ces derniers car elle était constamment sous l’influence de la drogue. L’appelant ne s’est pas arrêté là puisque le lendemain, il a adressé un courrier au Ministère public pour l’informer que son ex-compagne se servait de leurs enfants pour son activité d’intermédiaire dans le cadre de son trafic de</w:t>
      </w:r>
    </w:p>
    <w:p>
      <w:r>
        <w:t>- 19 - stupéfiants. Le contenu de ses correspondances est de toute évidence attentatoire à l’honneur. Comme on l’a vu, l’appelant savait de surcroît que ce qu’il disait était faux. En particulier, on peut relever que le 1er mai 2013, O.________ avait eu connaissance de l’ordonnance de classement du 13 juin 2012, confirmée le 8 octobre 2012 par l’autorité de recours. En outre, les épisodes concernant l’intervention de la police du 9 janvier 2011 et le témoin [...] avaient déjà eu lieu. Par ailleurs, compte tenu de son statut de partie, il avait également connaissance du résultat de l’enquête de la brigade des mineurs-mœurs du 5 décembre 2011, à teneur de laquelle il n’avait jamais pu être établi que F.________ et C.________ aient été sous l’influence des stupéfiants en présence des enfants, les prénommés étant par ailleurs prêts à fournir à la justice les résultats d’examens médicaux pour démontrer qu’ils étaient aptes à assurer leur éducation (P. 5/1). A l’instar du premier juge, il faut encore relever que, dans ses écrits, l’appelant a dépassé son devoir d’allégation en ce sens que tout est affirmé et que rien n’est supposé. Ceci trahit à nouveau l’intention dolosive d’O.________. Il résulte de ce qui précède que c’est à juste titre que le Tribunal de première instance a reconnu l’appelant coupable de calomnie.</w:t>
      </w:r>
    </w:p>
    <w:p>
      <w:r>
        <w:rPr>
          <w:b/>
        </w:rPr>
        <w:t>E. 6</w:t>
      </w:r>
    </w:p>
    <w:p>
      <w:r>
        <w:t>Subsidiairement, l’appelant soutient que le premier juge aurait infligé une peine arbitrairement sévère.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- 20 -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Pour choisir la nature de la peine, le juge doit prendre en considération l’opportunité de la sanction déterminée, ses effets sur l’auteur et son milieu social, ainsi que son efficacité préventive (ATF 134 IV 97 consid. 4 ; TF 6B_128/2011 du 14 juin 2011 consid. 3.1). Une peine pécuniaire peut être exclue pour des motifs de prévention spéciale ou parce qu’elle prive le prévenu du nécessaire, voire de l’indispensable (TF 6B_196/2012 du 24 janvier 2013 consid. 3.3 ; TF 6B_128 du 14 juin 2011 consid. 3.4 ; ATF 134 IV 97 consid. 5.2.3).</w:t>
      </w:r>
    </w:p>
    <w:p>
      <w:r>
        <w:rPr>
          <w:b/>
        </w:rPr>
        <w:t>E. 6.2</w:t>
      </w:r>
    </w:p>
    <w:p>
      <w:r>
        <w:t>La culpabilité relativement lourde d’O.________ et les éléments retenus à sa charge par le premier juge doivent être confirmés. Les faits qui sont reprochés à l’appelant sont en effet loin d’être anodins. Depuis le début de l’année 2011, il n’a cessé de dénoncer son ex-compagne, de même que C.________, en les accusant d’être gravement et constamment sous l’emprise de produits stupéfiants et de participer à un trafic de stupéfiants, alors même qu’il savait que ses propos n’étaient pas conforme à la réalité. Par son comportement, l’appelant, sans scrupule, n’a pas hésité à salir la réputation de la mère de ses enfants, à mobiliser inutilement les autorités et à critiquer le travail d’un intervenant du SPJ. L’attitude qu’il a démontrée depuis quelques années ne témoigne d’aucune prise de conscience quant à la gravité de ses actes. A cela s’ajoute que l’appelant a des antécédents. Il a notamment été condamné à une lourde de peine d’emprisonnement avec sursis en 2006 pour crime à la LStup, puis plus récemment à deux reprises à des peines pécuniaires –</w:t>
      </w:r>
    </w:p>
    <w:p>
      <w:r>
        <w:t>- 21 - la première avec sursis – pour des infractions à la législation sur la circulation routière. Il n’y a enfin aucun élément à décharge. La peine privative de liberté de six mois prononcée par le tribunal paraît certes assez sévère tant dans son genre que dans sa quotité. Cependant, le genre de peine se justifie pour des motifs de prévention spéciale. En effet, comme l’a relevé le premier juge, les peines moins incisives prononcées à l’encontre de l’appelant par le passé n’ont pas eu l’effet dissuasif escompté, de sorte que l’efficacité d’une peine pécuniaire doit en l’espèce être niée, de même que le prononcé d’un travail d’intérêt général. Une peine pécuniaire n’aurait d’ailleurs guère de sens, car le recouvrement de celle-ci apparaît compromis et la valeur du jour-amende ne pourrait de toute façon qu’être arrêtée à un montant modeste, rendant la sanction symbolique. Partant, la peine prononcée par le premier juge est adéquate et doit être confirmée.</w:t>
      </w:r>
    </w:p>
    <w:p>
      <w:r>
        <w:rPr>
          <w:b/>
        </w:rPr>
        <w:t>E. 7</w:t>
      </w:r>
    </w:p>
    <w:p>
      <w:r>
        <w:t>En définitive, l’appel doit être rejeté et le jugement entrepris intégralement confirmé. Sur la base de la liste d’opérations produite, une indemnité pour la procédure d’appel d’un montant de 1'750 fr. 70, TVA et débours inclus, sera allouée au défenseur d’office de l’appelant. Vu l’issue de la cause, les frais de la procédure d’appel, constitués en l’espèce de l’émolument du jugement, par 2'050 fr. (art. 21 al. 1 TFIP [Tarif des frais de procédure et indemnités en matière pénale du 28 septembre 2010 ; RSV 312.03.1]), et de l’indemnité allouée au défenseur d’office de l’appelant, par 1'750 fr. 70, TVA et débours inclus, doivent être intégralement mis à la charge de ce dernier. O.________ ne sera cependant tenu de rembourser à l’Etat le montant de l’indemnité en faveur de son défenseur d’office que lorsque sa situation financière le permettra.</w:t>
      </w:r>
    </w:p>
    <w:p>
      <w:r>
        <w:t>- 22 - La condamnation de l’appelant étant confirmée, il ne saurait prétendre à l’allocation d’une indemnité au titre de la réparation du tort moral (art. 429 al. 1 let.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