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PE12.010127 vom 12. März 2019</w:t>
      </w:r>
    </w:p>
    <w:p>
      <w:r>
        <w:t>VD Tribunal cantonal, 2019-03-12, FR</w:t>
      </w:r>
    </w:p>
    <w:p>
      <w:r>
        <w:rPr>
          <w:b/>
        </w:rPr>
        <w:t xml:space="preserve">Quelle: </w:t>
      </w:r>
      <w:r>
        <w:t>https://mcp.opencaselaw.ch/entscheid/vd_gerichte_PE12.010127</w:t>
      </w:r>
    </w:p>
    <w:p>
      <w:r>
        <w:t>FR: VD_GERICHTE PE12.010127 du 12 mars 2019</w:t>
      </w:r>
    </w:p>
    <w:p>
      <w:r>
        <w:t>IT: VD_GERICHTE PE12.010127 del 12 marzo 2019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En définitive, l’appel de P.________ doit être admis. Le dispositif du jugement rendu par la Cour d’appel pénale le 17 août 2021 sera modifié à son chiffre IX dans le sens du considérant qui précède et complété par l’ajout de chiffres Xbis et Xter fixant les frais et indemnités pour la procédure d’appel postérieure à l’arrêt du Tribunal fédéral du 24 novembre 2022.</w:t>
      </w:r>
    </w:p>
    <w:p>
      <w:r>
        <w:t>- 9 -</w:t>
      </w:r>
    </w:p>
    <w:p>
      <w:r>
        <w:rPr>
          <w:b/>
        </w:rPr>
        <w:t>E. 4.1</w:t>
      </w:r>
    </w:p>
    <w:p>
      <w:r>
        <w:t>S’agissant de la procédure postérieure à l’arrêt de renvoi du Tribunal fédéral du 24 novembre 2022, P.________ conclut à l’octroi d’une indemnité de 1'002 fr. 96. Il a produit une liste d’opérations faisant état de 2 h 50 d’activité d’avocat breveté et de 24 minutes d’activité d’avocat stagiaire entre le 7 décembre 2022 et le 9 janvier 2023, aux tarifs horaires respectifs de 300 fr. et de 160 francs. Il n’y a pas lieu de s’écarter de la durée alléguée, si ce n’est pour retrancher 4 minutes consacrées par l’avocat stagiaire au « suivi du dossier », dont on ne sait toujours pas à quelle opération concrète cela correspondrait. L’indemnité allouée à P.________ pour la procédure postérieure à l’arrêt de renvoi du Tribunal fédéral du 24 novembre 2022 sera ainsi fixée à 992 fr. 40, correspondant à une activité nécessaire d’avocat breveté de 2 h 50 au tarif horaire de 300 fr., par 850 fr., à 20 minutes d’activité d’avocat stagiaire au tarif horaire de 160 fr., par 53 fr. 35, à des débours forfaitaires à concurrence de 2 % des honoraires admis (art. 19 al. 2 TDC [Tarif des dépens en matière civile du 23 novembre 2010 ; BLV 270.11.6], applicable par renvoi de l'art. 26a al. 6 TFIP [Tarif des frais de procédure et indemnités en matière pénale du 28 septembre 2010 ; BLV 312.03.1]), par 18 fr. 10, et à la TVA au taux de 7,7 %, par 70 fr. 95.</w:t>
      </w:r>
    </w:p>
    <w:p>
      <w:r>
        <w:rPr>
          <w:b/>
        </w:rPr>
        <w:t>E. 4.2</w:t>
      </w:r>
    </w:p>
    <w:p>
      <w:r>
        <w:t>Le présent jugement ayant été rendu à la suite de l’arrêt de renvoi du Tribunal fédéral, les frais d'appel postérieurs à celui-ci, constitués du seul émolument de jugement, par 1’100 fr. (art. 21 al. 1 TFIP), seront laissés à la charge de l'Etat (art. 428 al. 4 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