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PE12.010085 vom 22. Juni 2012</w:t>
      </w:r>
    </w:p>
    <w:p>
      <w:r>
        <w:t>VD Tribunal cantonal, 2012-06-22, FR</w:t>
      </w:r>
    </w:p>
    <w:p>
      <w:r>
        <w:rPr>
          <w:b/>
        </w:rPr>
        <w:t xml:space="preserve">Quelle: </w:t>
      </w:r>
      <w:r>
        <w:t>https://mcp.opencaselaw.ch/entscheid/vd_gerichte_PE12.010085</w:t>
      </w:r>
    </w:p>
    <w:p>
      <w:r>
        <w:t>FR: VD_GERICHTE PE12.010085 du 22 juin 2012</w:t>
      </w:r>
    </w:p>
    <w:p>
      <w:r>
        <w:t>IT: VD_GERICHTE PE12.010085 del 22 giugno 2012</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ne doivent cependant pas durer plus longtemps que la peine privative de liberté prévisible (art. 212 al. 3 CPP). En l’espèce, le recourant ne conteste à juste titre pas l’existence de présomptions sérieuses de culpabilité à son encontre, s’agissant des deux brigandages qui lui sont reprochés (cf. recours, pp. 3</w:t>
      </w:r>
    </w:p>
    <w:p>
      <w:r>
        <w:t>- 5 - et 5). Il conteste en revanche l’existence d’un risque de fuite (recours, pp. 2-4) et soutient que la détention provisoire ne serait pas justifiée sous l’angle du principe de proportionnalité (recours, p. 4). b) Comme on l’a vu (cf. c. 2a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(éd.), Commentaire romand, Code de procédure pénale suisse, Bâle 2011, n. 12 ad art. 221 CPP et les références citées; cf. Forster, in Niggli/Heer/Wiprächtiger (éd.), Basler Kommentar, Schweizerische Strafprozessordnung, Bâle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1B_374/2011 du 3 août 2011 c. 3.1 ; TF 1B_422/2010 du 11 janvier 2011 c. 2.1). En l’espèce, le recourant est fortement soupçonné d’avoir commis deux brigandages – infraction passible selon l’art. 140 ch. 1 CP d’une peine privative de liberté de dix ans au plus ou d’une peine</w:t>
      </w:r>
    </w:p>
    <w:p>
      <w:r>
        <w:t>- 6 - pécuniaire de 180 jours-amende au moins – et s’expose ainsi à être condamné à une peine privative de liberté de plus de six mois. Compte tenu du fait qu’il est de nationalité égyptienne, du fait qu’il n’a aucune attache personnelle avec la Suisse, où il n’est au bénéfice que d’un permis N dans l’attente d’une décision sur sa demande d’asile, et des déclarations faites lors de son audition d’arrestation du 7 juin 2012 (p. 3), selon lesquelles il quitterait le territoire helvétique s’il ne trouvait pas du travail dans les deux mois, il y a sérieusement et concrètement lieu de craindre que le recourant, en cas de libération de la détention provisoire, prenne la fuite pour se soustraire à la sanction prévisible. Il convient de souligner à cet égard que le fait que le casier judiciaire suisse du recourant soit vierge ne signifie pas qu’il bénéficiera automatiquement du sursis à l’exécution de la peine, les délinquants ne pouvant s’attendre systématiquement à bénéficier de l’octroi du sursis en cas de première condamnation (cf. Dupuis / Geller / Monnier / Moreillon / Piguet / Bettex / Stoll (éd.), Petit commentaire du code pénal, Bâle 2012, n. 26 ad art. 42 CP). c)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selon la jurisprudence constante du Tribunal fédéral, la perspective de l’octroi du sursis ou d’une libération conditionnelle n’a pas à être prise en compte pour juger de la proportionnalité de la détention provisoire, sauf circonstances particulières qui imposeraient exceptionnellement une solution différente (ATF 133 I 270 c. 3.4.2; ATF 125 I 60 c. 3d; TF 1B_82/2008 du 7 avril 2008; TF 1B_79/2012 du 22 février 2012 c. 6). En l’espèce, le recourant a été appréhendé le 6 juin 2012 et risque une peine privative de liberté supérieure à six mois, de sorte que la proportionnalité de la détention provisoire est manifestement respectée en l’espèce. L’hypothèse du recourant selon laquelle il ne pourrait être</w:t>
      </w:r>
    </w:p>
    <w:p>
      <w:r>
        <w:t>- 7 - jugé par un Tribunal avant le début de l’année 2013, dans le meilleur des cas (recours, p. 4), de sorte que la détention provisoire ne pourrait dans tous les cas pas se prolonger jusqu’à la décision à rendre par un Tribunal, n’est pas pertinente s’agissant de juger de la conformité au droit fédéral de l’ordonnance attaquée, laquelle a ordonné à ce stade la détention provisoire du recourant pour une durée de trois mois, soit au plus tard jusqu’au 6 septembre 2012.</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283 fr. 50 plus la TVA par 22 fr. 70, soit 306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attaquée est confirmée. III. L'indemnité due au défenseur d'office de Y.________ est fixée à 306 fr. 20 (trois cent six francs et vingt centimes). IV. Les frais d'arrêt, par 770 fr. (sept cent septante francs) ainsi que l'indemnité due au défenseur d'office de Y.________, par 306 fr. 20 (trois cent six francs et vingt centimes) sont mis à la charge de ce dernier.</w:t>
      </w:r>
    </w:p>
    <w:p>
      <w:r>
        <w:t>- 8 -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Mme Virginie Rodigari, avocate (pour Y.________),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