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PE12.009844 vom 12. Juni 2012</w:t>
      </w:r>
    </w:p>
    <w:p>
      <w:r>
        <w:t>VD Tribunal cantonal, 2012-06-12, FR</w:t>
      </w:r>
    </w:p>
    <w:p>
      <w:r>
        <w:rPr>
          <w:b/>
        </w:rPr>
        <w:t xml:space="preserve">Quelle: </w:t>
      </w:r>
      <w:r>
        <w:t>https://mcp.opencaselaw.ch/entscheid/vd_gerichte_PE12.009844</w:t>
      </w:r>
    </w:p>
    <w:p>
      <w:r>
        <w:t>FR: VD_GERICHTE PE12.009844 du 12 juin 2012</w:t>
      </w:r>
    </w:p>
    <w:p>
      <w:r>
        <w:t>IT: VD_GERICHTE PE12.009844 del 12 giugno 2012</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w:t>
      </w:r>
    </w:p>
    <w:p>
      <w:r>
        <w:rPr>
          <w:b/>
        </w:rPr>
        <w:t>E. 1.3</w:t>
      </w:r>
    </w:p>
    <w:p>
      <w:r>
        <w:t>et 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t>- 6 -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 Commentaire romand, Code de procédure pénale suisse, Bâle 2011, n. 2 ad art. 237 CPP). b) En l’espèce, compte tenu des déclarations de X.________ et des mises en causes dont il est l'objet, les présomptions de culpabilités sont avérées et par ailleurs non contestées. c) Le Tribunal des mesures de contrainte a nié l'existence d'un risque de collusion. Le procureur estime quant à lui qu'un tel risque existe et que les mesures de substitution ordonnées ne sont pas propres à empêcher le prévenu de prendre contact avec ses anciennes élèves et de tenter de les influencer, avant que leur audition ait pu intervenir.</w:t>
      </w:r>
    </w:p>
    <w:p>
      <w:r>
        <w:t>- 7 - Comme on l'a vu (cf. 2a supra), il ressort de l'art. 221 al. 1 let. b CPP que le maintien en détention provisoire se justifie notamment lorsqu'il a sérieusement lieu de craindre que l'intéressé ne mette sa liberté à profit pour faire disparaître ou altérer les preuves, ou qu'il prenne contact avec des témoins ou d'autres prévenus pour tenter d'influencer leurs déclarations (TF 1B_55/2010 du 11 mars 2010 c. 3.1). Ce risque doit être étayé par des faits concrets et précis, la simple possibilité théorique que le prévenu se livre à des manœuvres destinées à compromettre la recherche de la vérité ne suffisant pas (Schmocker, op.cit., n. 16 ad art. 221 CPP; ATF 132 I 21 c. 3.2). En l'occurrence, X.________ a non seulement admis les faits qui lui étaient reprochés, mais a aussi indiqué spontanément à la police d'autres actes qu'il avait commis et que cette dernière ignorait. Il a certes détruit son ordinateur peu après avoir commis le deuxième acte d'ordre sexuel, mais il a expliqué l'avoir fait parce qu'il était sur le point de se suicider et non pas dans le but d'entraver l'enquête pénale. Par ailleurs, il a cessé définitivement son activité d'enseignant, ce dont ses élèves ont été informés, et la société [...] SA est prête à l'engager. Au vu de ces éléments, il y a lieu d'admettre que le risque concret que craint le Ministère public, à savoir que le prévenu ne cherche à influencer ses victimes, n'est pas suffisamment avéré. d) Le Tribunal des mesures de contrainte a estimé que le risque de récidive était avéré, mais uniquement si le prévenu persistait dans son activité professionnelle actuelle ou dans toute activité lui permettant de se retrouver seul avec des jeunes filles. Le Ministère public est d'avis que la seule existence d'une procédure en cours n'exerce aucune influence sur X.________ puisqu'il a récidivé après le dépôt du rapport d'expertise. Il considère que le prévenu doit être maintenu en détention provisoire jusqu'à ce que les experts puissent exposer si le traitement préconisé reste une mesure appropriée à la lumière de la récente récidive, et si le risque peut toujours être qualifié de moyen,</w:t>
      </w:r>
    </w:p>
    <w:p>
      <w:r>
        <w:t>- 8 - notamment dans l'hypothèse où le prévenu cesse effectivement une activité professionnelle le mettant en contact avec de jeunes filles mineures. De son côté, le prévenu soutient que sans contact avec des mineures, le risque de récidive n'est pas significatif.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à tout le moins par des délits graves (cf. ATF 137 IV 84 c. 3.2, JT 2011 IV 325),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 4.5; ATF 135 I 71 c. 2.3; ATF 133 I 270 c. 2.2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En l'espèce, les experts ont conclu à un risque de récidive moyen. Les mesures de substitution préconisées par le Tribunal des mesures de contrainte ont été mises en place. Toutefois, il faut se demander si ces mesures sont suffisantes pour parer ce risque de récidive. A cet égard, le fait que le prévenu ne soit pas quotidiennement en contact avec des mineures est positif; mais, à ce stade de l'enquête, et notamment avant un complément d'expertise, le risque de récidive, même</w:t>
      </w:r>
    </w:p>
    <w:p>
      <w:r>
        <w:t>- 9 - en dehors de toute activité professionnelle en lien avec des mineures, ne peut pas être exclu. Comme l'a relevé à juste titre le Ministère public, le prévenu peut entrer en contact avec des mineures à d'autres occasions. En outre, et surtout, le prévenu a commis un nouvel acte d'ordre sexuel envers une mineure alors qu'il faisait l'objet d'une enquête au cours de laquelle il paraissait avoir réalisé la gravité de ses actes et, dans le but d'éviter de les réitérer, avait déjà entrepris une démarche thérapeutique du type de celle ordonnée à tire de mesure de substitution. Le prévenu ayant déjà bénéficié d'un suivi psychothérapeutique qui ne l'a pas empêché de commettre de nouveaux actes d'ordre sexuel avec une mineure, le risque qu'il fait courir à d'autres victimes potentielles commande son maintien en détention. Seule l'expertise complémentaire permettra d'évaluer la portée des nouveaux actes délictueux du prévenu et de se prononcer sur l'opportunité d'éventuelles mesures de substitution. e) Le principe de proportionnalité commande que la détention provisoire ne dure pas plus longtemps que la peine privative de liberté prévisible (art. 212 al. 3 CPP). La proportionnalité de la détention doit être examinée au regard de l’ensemble des circonstances concrètes du cas d’espèce (ATF 133 I 168 c. 4.1 et les arrêts cités). En l'espèce, le Ministère public a requis que X.________ soit maintenu en détention provisoire pour une durée de trois mois à partir du 1er juin 2012. Dans la mesure où l'appréciation du risque de récidive dépend du complément d'expertise, il est nécessaire que ce dernier soit effectué le plus rapidement possible. Au vu de l'ensemble des circonstances du cas d'espèce et des besoins de l'instruction, la détention provisoire doit être ordonnée pour une durée de deux mois. L’attention du prévenu est attirée sur le fait qu’il peut en tout temps présenter une demande de mise en liberté (cf. art. 226 al. 3 CPP).</w:t>
      </w:r>
    </w:p>
    <w:p>
      <w:r>
        <w:t>- 10 -</w:t>
      </w:r>
    </w:p>
    <w:p>
      <w:r>
        <w:rPr>
          <w:b/>
        </w:rPr>
        <w:t>E. 3</w:t>
      </w:r>
    </w:p>
    <w:p>
      <w:r>
        <w:t>Il résulte de ce qui précède que le recours doit être partiellement admis. Les frais de la procédure de recours, constitués en l’espèce de l’émolument d'arrêt, par 990 fr. (art. 20 al. 1 TFJP [tarif des frais judiciaires pénaux; RSV 312.03.1]) et des frais imputables à la défense d’office (art. 422 al. 1 et 2 let. a CPP), fixés à 540 fr. plus la TVA par 43 fr. 20, seront mis pour deux tiers à la charge de X.________, le solde étant laissé à la charge de l'Etat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Le recours est partiellement admis. II. L'ordonnance du 2 juin 2012 est réformée en ce sens que la détention provisoire de X.________ est ordonnée pour une durée de deux mois, soit jusqu'au 31 juillet 2012 (I), les chiffres II, III et IV étant supprimés. III. L'indemnité allouée au défenseur d'office du prévenu est fixée à 583 fr. 20 (cinq cent huitante-trois francs et vingt centimes). IV. Les frais d'arrêt, par 990 fr. (neuf cent nonante francs), ainsi que l'indemnité due au défenseur d'office du recourant, par 583 fr. 20 (cinq cent huitante-trois francs et vingt centimes), sont mis pour deux tiers à la charge de X.________, le solde étant laissé à la charge de l'Etat. V. Le remboursement à l'Etat de l'indemnité allouée au chiffre III ci-dessus sera exigible pour autant que la situation économique de X.________ se soit améliorée.</w:t>
      </w:r>
    </w:p>
    <w:p>
      <w:r>
        <w:t>- 11 - VI. L'arrêt est exécutoire. La vice-présidente : La greffière : Du La décision qui précède, dont la rédaction a été approuvée à huis clos, est notifiée, par l'envoi d'une copie complète, à : - M. Claude-Alain Boillat, avocat (pour X.________) (et par fax), - Ministère public central (et par fax), et communiquée à : - Mme la Présidente du Tribunal des mesures de contrainte (et par fax), - Prison du Bois-Mermet (et par fax), - Mme Christine Chollet, - Service de médecine et psychiatrie pénitentiaires (SMPP),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