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PE12.009508 vom 17. Juli 2014</w:t>
      </w:r>
    </w:p>
    <w:p>
      <w:r>
        <w:t>VD Tribunal cantonal, 2014-07-17, FR</w:t>
      </w:r>
    </w:p>
    <w:p>
      <w:r>
        <w:rPr>
          <w:b/>
        </w:rPr>
        <w:t xml:space="preserve">Quelle: </w:t>
      </w:r>
      <w:r>
        <w:t>https://mcp.opencaselaw.ch/entscheid/vd_gerichte_PE12.009508</w:t>
      </w:r>
    </w:p>
    <w:p>
      <w:r>
        <w:t>FR: VD_GERICHTE PE12.009508 du 17 juillet 2014</w:t>
      </w:r>
    </w:p>
    <w:p>
      <w:r>
        <w:t>IT: VD_GERICHTE PE12.009508 del 17 luglio 2014</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w:t>
      </w:r>
    </w:p>
    <w:p>
      <w:r>
        <w:t>- 3 -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A.H.________ plaide que la prévenue aurait proféré des propos attentatoires à son honneur dans le seul but d'empêcher l'exercice du droit de visite et de s'opposer aux décisions de justice rendues en la matière, de sorte que l'infraction de diffamation (art. 173 ch. 1 CP) serait réalisée et que l'art. 173 ch. 2 CP ne s'appliquerait pas. Dès lors qu'une infraction aurait été commise, le Parquet se serait faussement référé à l'art. 319 al. 1 let. e CPP, lequel, aux dires du recourant, ne serait, de plus, pas invocable lorsque seule la punissabilité fait défaut. Enfin, en faisant fi de la question de savoir si la prévenue avait agi dans le dessein de dire du mal d'autrui au sens de l'art. 173 ch. 3 CP, l'ordonnance entreprise violerait son droit d'être entendu. 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Le classement de la procédure peut aussi être ordonné par le Ministère public lorsqu'on peut renoncer à toute poursuite ou à toute sanction en vertu de dispositions légales (art. 319 al. 1 let. e CPP)</w:t>
      </w:r>
    </w:p>
    <w:p>
      <w:r>
        <w:t>- 4 -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b)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L'honneur protégé par le droit pénal est le droit de chacun de ne pas être considéré comme une personne méprisable. Selon la jurisprudence, les art. 173 ss CP ne protègent que l'honneur personnel, la réputation et le sentiment d'être un homme honorable, de se comporter, en d'autres termes, comme un homme digne</w:t>
      </w:r>
    </w:p>
    <w:p>
      <w:r>
        <w:t>- 5 - a coutume de le faire selon les idées généralement reçues. Echappent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Lorsqu'on évoque la commission d'un crime ou d'un délit intentionnel, la jurisprudence admet qu'il y a atteinte à l'honneur. Il n'est toutefois pas nécessaire que le comportement soit réprimé par la loi pénale, il suffit qu'il soit moralement réprouvé. Pour déterminer si une déclaration est attentatoire à l'honneur, il ne faut pas se fonder sur le sens que lui donne la personne visée, mais sur une interprétation objective selon le sens qu'un destinataire non prévenu doit, dans les circonstances données, lui attribuer. Pour que l'auteur se rende coupable de diffamation, l'atteinte à l'honneur doit être communiquée à un tiers et porter sur un fait (et ne pas constituer un simple jugement de valeur) (TF 6B_371/2011 du 15 août 2011, c. 5 et les réf. citées). L'art. 173 ch. 2 CP dispose que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Il peut apporter même des éléments de preuve qui lui étaient inconnus au moment où il s'est exprimé, car la seule question pertinente est celle de la véracité du propos. La question de savoir ce qui est vrai relève du fait (TF 6B_371/2011 du 15 août 2011, c. 5. 3 et réf.). A teneur de l'art. 173 ch. 3 CP, l'auteur d'une diffamation n'est pas admis à apporter les preuves libératoires prévues au ch. 2 de cette disposition, si ses allégations ont été articulées ou propagées sans égard à l'intérêt public ou sans autre motif suffisant, principalement dans le dessein de dire du mal d'autrui, notamment lorsqu'elles ont trait à la vie privée ou à la vie de famille. L'admission à la preuve libératoire constitue</w:t>
      </w:r>
    </w:p>
    <w:p>
      <w:r>
        <w:t>- 6 - la règle, de sorte que les conditions d'un refus sont interprétées plutôt restrictivement. La preuve libératoire ne peut être refusée que si l'auteur s'est exprimé sans motif suffisant et s'il a agi principalement dans le dessein de dire du mal d'autrui. Les deux conditions sont cumulatives (TF 6S.752/2000 du 6 décembre 2000 et les références citées). Se rend coupable d'injure au sens de l'art. 177 ch. 1 CP celui qui, de toute autre manière aura, par la parole, l'écriture, l'image, le geste ou par des voies de fait, attaqué autrui dans son honneur. Le jugement de valeur attentatoire à l'honneur peut revêtir la forme d'une attitude, d'une formule ou d'un jugement méprisants. Les preuves libératoires sont applicables par analogie à l'infraction d'injure (TF 6S.752/2000 du 6 décembre 2000) . c) En l'espèce, les A.H.________ vivent séparés depuis cinq ans. Leur procédure de divorce est très conflictuelle. Le 6 avril 2012, soit le jour où la prévenue s'est entretenue avec M.[...] et le SPJ, A.H.________ était venu chercher leur fils [...], à Nyon, conformément à son droit de visite. Ce jour-là, le recourant aurait donné des coups à son épouse et lui aurait cassé le nez. Ces faits font l'objet d'une instruction pénale, sur plainte de B.H.________ (cause no [...] Interpellée au sujet des propos qu'on lui reproche, B.H.________ a expliqué n'avoir jamais voulu porter des accusations contre son mari, ni empêcher celui-ci de voir leur fils ; blessée par les coups que son époux venait de lui asséner ce 6 avril 2012, elle cherchait seulement à exprimer sa crainte face à sa violence, en considérant qu'il serait capable de tout s'il était condamné dans l'affaire [...] le concernant, parce qu'il n'aurait plus rien à perdre. Les témoignages au dossier concordent avec ce qui précède. D'une part, une amie de la prévenue a indiqué l'avoir rencontrée le lendemain des faits, le 7 avril 2012, avec le nez cassé et a précisé qu'au vu de la violence de A.H.________ – qu'elle avait vu "exploser" à la fin d'une audience de première instance –, elle avait eu peur pour l'enfant [...]. D'autre part, une voisine de B.H.________, qui était présente le 6 avril 2012,</w:t>
      </w:r>
    </w:p>
    <w:p>
      <w:r>
        <w:t>- 7 - a déclaré avoir le sentiment que cette histoire allait mal finir et que si un drame devait arriver, elle ne serait pas surprise. Dans ces circonstances, on peut retenir que B.H.________ avait des raisons sérieuses de croire à la véracité de ses propos au moment où elle les a prononcés. Ainsi et contrairement à ce que prétend le recourant qui se prévaut en vain du fait que les pièces au dossier (P. 22) ne démontrent pas qu'il souffre de signes de la lignée psychotique, il n'y a pas lieu de s'écarter des constatations de l'autorité précédente, selon lesquelles la prévenue peut se voir appliquer l'art. 173 ch. 2 CP. d) Au demeurant, il est vrai que l'ordonnance attaquée ne traite pas de l'art. 173 ch. 3 CP. Cependant, il en ressort que l'une des preuves libératoires de l'art. 173 ch. 2 CP a été admise. Or il est conforme à la jurisprudence d'en déduire que le Ministère public a préalablement considéré, de manière implicite, que les conditions d'un refus selon l'art. 173 ch. 3 CP n'étaient pas réunies (TF 6S.752/2000 du 6 décembre 2000). Le second grief de A.H.________ selon lequel son droit d'être entendu aurait été violé, tombe donc également à faux. e) Vu ce qui précède, dès lors que l'on peut renoncer à toute sanction en vertu de l'art. 173 ch. 2 CP, c'est à bon droit que le Ministère public a ordonné le classement de la procédure dirigée contre B.H.________, en application de l'art. 319 al. 1 let. e in fine CPP. L'argument de A.H.________ selon lequel cette norme ne serait pas applicable si seule la punissabilité fait défaut, procède d'une lecture incomplète de la disposition précitée et ne saurait être suivi.</w:t>
      </w:r>
    </w:p>
    <w:p>
      <w:r>
        <w:rPr>
          <w:b/>
        </w:rPr>
        <w:t>E. 3</w:t>
      </w:r>
    </w:p>
    <w:p>
      <w:r>
        <w:t>En définitive, le recours, manifestement mal fondé, doit être rejeté sans autres échanges d’écritures (art. 390 al. 2 CPP) et l’ordonnance attaquée confirmée. Vu le sort du recours, la requête tendant à l'octroi de l'assistance judiciaire pour la partie plaignante comprenant la désignation d'un conseil juridique gratuit en la personne de</w:t>
      </w:r>
    </w:p>
    <w:p>
      <w:r>
        <w:t>- 8 - Laurent Schuler pour la procédure de recours doit être rejetée (CREP 28 janvier 2013/37 et les arrêts cités).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12 mars 2014 est confirmée. III. La requête tendant à l'octroi, pour la procédure de recours, de l'assistance judiciaire gratuite comprenant la désignation d'un conseil juridique gratuit en la personne de Laurent Schuler est rejetée. IV. Les frais du présent arrêt, par 770 fr. (sept cent septante francs), sont mis à la charge de A.H.________ V. L’arrêt est exécutoire. Le président : La greffière :</w:t>
      </w:r>
    </w:p>
    <w:p>
      <w:r>
        <w:t>- 9 - Du L'arrêt qui précède, dont la rédaction a été approuvée à huis clos, est notifié, par l'envoi d'une copie complète, à : - M. Laurent Schuler, avocat (pour A.H.________), - Mme A.H.________,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