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PE12.009183 vom 21. November 2014</w:t>
      </w:r>
    </w:p>
    <w:p>
      <w:r>
        <w:t>VD Tribunal cantonal, 2014-11-21, FR</w:t>
      </w:r>
    </w:p>
    <w:p>
      <w:r>
        <w:rPr>
          <w:b/>
        </w:rPr>
        <w:t xml:space="preserve">Quelle: </w:t>
      </w:r>
      <w:r>
        <w:t>https://mcp.opencaselaw.ch/entscheid/vd_gerichte_PE12.009183</w:t>
      </w:r>
    </w:p>
    <w:p>
      <w:r>
        <w:t>FR: VD_GERICHTE PE12.009183 du 21 novembre 2014</w:t>
      </w:r>
    </w:p>
    <w:p>
      <w:r>
        <w:t>IT: VD_GERICHTE PE12.009183 del 21 novembre 2014</w:t>
      </w:r>
    </w:p>
    <w:p>
      <w:pPr>
        <w:pStyle w:val="Heading2"/>
      </w:pPr>
      <w:r>
        <w:t>Erwägungen</w:t>
      </w:r>
    </w:p>
    <w:p>
      <w:r>
        <w:rPr>
          <w:b/>
        </w:rPr>
        <w:t>E. 5</w:t>
      </w:r>
    </w:p>
    <w:p>
      <w:r>
        <w:t>L’appelant admet s’être rendu coupable d’injure dans le cas 2.2 retenu ci-dessus. Toutefois, il fait valoir que ses injures ne constitueraient qu’une riposte immédiate à la conduite répréhensible de la plaignante.</w:t>
      </w:r>
    </w:p>
    <w:p>
      <w:r>
        <w:rPr>
          <w:b/>
        </w:rPr>
        <w:t>E. 5.1</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w:t>
      </w:r>
    </w:p>
    <w:p>
      <w:r>
        <w:t>- 14 -</w:t>
      </w:r>
    </w:p>
    <w:p>
      <w:r>
        <w:rPr>
          <w:b/>
        </w:rPr>
        <w:t>E. 5.2</w:t>
      </w:r>
    </w:p>
    <w:p>
      <w:r>
        <w:t>En l’espèce, il convient de rappeler qu’au moment des faits, l’appelant harcelait la plaignante car il n’acceptait pas leur rupture. Ainsi, même s’il est plausible que la dispute survenue au « [...] », au cours de laquelle des insultes ont été proférées, ait été provoquée par une irruption de la plaignante qui n’en pouvait plus du comportement de l’appelant et qui avait entrepris de le lui dire, il est suffisamment établi qu’H.________ est entièrement responsable de cette dispute (cf. PV aud. 5, p. 6). Comme il est relevé dans le jugement entrepris, l’appelant s’est montré harcelant et humiliant pendant des mois, contribuant à causer des souffrances qui ne sauraient être banalisées. Dans ces conditions, il n’est pas envisageable d’exempter l’intéressé de toute peine au sens de l’art. 177 al. 3 CP. II. Appel joint de G.________</w:t>
      </w:r>
    </w:p>
    <w:p>
      <w:r>
        <w:rPr>
          <w:b/>
        </w:rPr>
        <w:t>E. 6</w:t>
      </w:r>
    </w:p>
    <w:p>
      <w:r>
        <w:t>L’appelante par voie de jonction conteste la libération du prévenu pour le chef d’accusation de contrainte sexuelle. Selon elle, H.________ l’aurait, de force et contre son gré, mis à terre pour tenter de l’embrasser, lui aurait à cette occasion touché le sexe à même la peau et l’aurait pénétrée digitalement.</w:t>
      </w:r>
    </w:p>
    <w:p>
      <w:r>
        <w:rPr>
          <w:b/>
        </w:rPr>
        <w:t>E. 6.1</w:t>
      </w:r>
    </w:p>
    <w:p>
      <w:r>
        <w:t>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w:t>
      </w:r>
    </w:p>
    <w:p>
      <w:r>
        <w:t>- 15 - Par acte d’ordre sexuel, il faut entendre une activité corporelle sur soi-même ou sur autrui, qui tend à l’excitation ou à la jouissance sexuelle de l’un des participants au moins (Dupuis et alii, Petit commentaire du Code pénal, Bâle 2012, n. 18 ad art.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du 6 juin 2011 c. 1.1 ; TF 6B_7/2011 du 15 février 2011 c. 1.2 ; TF 6B_777/2009 du 25 mars 2010 c. 4.3). Une caresse insistante du sexe, des fesses ou des seins, même par-dessus les habits, a été considérée comme un acte d’ordre sexuel par le Tribunal fédéral (ATF 118 II 410 ; TF 6S.117/2006 du</w:t>
      </w:r>
    </w:p>
    <w:p>
      <w:r>
        <w:rPr>
          <w:b/>
        </w:rPr>
        <w:t>E. 6.2</w:t>
      </w:r>
    </w:p>
    <w:p>
      <w:r>
        <w:t>L’appelant soutient que la plaignante chercherait à se venger, car leur relation se serait mal terminée. A l’audience d’appel, la plaignante a déclaré avoir été pénétrée digitalement par l’appelant. Cependant, ce fait n’a été dévoilé qu’en audience, réponse à l’appel du prévenu. Cette précision n’a jamais été mentionnée précédemment. Ce revirement ne s’explique pas. La précision ne sera pas retenue en l’espèce. La Cour de céans retient pour le surplus que les récits de l’intéressée, qui n’ont pas varié durant l’instruction, sont précis quant au geste du prévenu et crédibles si l’on sait que ce dernier était depuis longtemps très désireux d’entretenir une relation, notamment sexuelle, avec G.________. Les propos de cette dernière ont été tout à fait mesurés puisqu’elle a précisé que les faits ultérieurs dans le cadre desquels elle aurait entretenu des relations sexuelles ensuite d’une forte insistance du prévenu ne relevaient selon elle pas d’un viol faute de contrainte. Quant à H.________, il est beaucoup moins clair, minimisant ses agissements sans vraiment les contester. Il a parlé d’attouchements accidentels sur les seins de la plaignante. Lorsqu’il a été entendu la première fois sur les événements antérieurs au début de leur relation, il a dit qu’elle n’avait pas accepté « la première fois », que « la première fois elle était choquée » et que « (il) reconnaissait avoir</w:t>
      </w:r>
    </w:p>
    <w:p>
      <w:r>
        <w:t>- 16 - passé une limite la première fois » (PV aud. 5, p. 9). Il a donc implicitement reconnu les faits avant de les nier. On observe par ailleurs que les attouchements ne pouvaient relever d’un accident si l’on considère que le prévenu était assis de tout son poids sur la plaignante couchée par terre sur le dos. C’est donc bien volontairement que le prévenu a mis sa main à même la peau sur le sexe de la plaignante. Au vu de ces éléments, l’acte de contrainte sexuelle doit ainsi être retenu contre H.________. 7. Il reste à examiner la peine à infliger au prévenu.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 ATF 134 IV 17 c. 2.1)</w:t>
      </w:r>
    </w:p>
    <w:p>
      <w:r>
        <w:t>- 17 - 7.1.2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 6.1; ATF 130 IV 1 c. 2.1; 108 IV 152 c. 3a; 106 IV 325 c. 1). La loi prévoit expressément que la règle de conduite peut porter sur des soins médicaux ou psychiques. Une règle de</w:t>
      </w:r>
    </w:p>
    <w:p>
      <w:r>
        <w:t>- 18 - conduite ordonnant un suivi médical est donc parfaitement admissible (TF 6B_626/2008 précité). 7.2 En l’espèce, il doit être constaté qu’outre les infractions d’injure et d’utilisation abusive d’une installation de télécommunication, H.________ s’est rendu coupable de contrainte sexuelle. Il a agi sur une personne qui travaillait pour lui depuis très peu de temps. Le fait que les parties ont par la suite eu une relation intime n’excuse pas le comportement du prévenu. Sa culpabilité doit ainsi être qualifiée de grave. En lieu et place d’une peine de 120 jours-amende à 50 fr. le jour-amende, c’est une peine de 240 jours-amende qui doit lui être infligée. En outre, le prévenu n’a montré aucun repentir et a été incapable de reconnaître ses torts même pour les faits qu’il a admis au cours de l’instruction. Le pronostic à poser quant à son comportement futur est ainsi mitigé de sorte que seul un sursis partiel peut lui être accordé. Enfin, le délai d’épreuve de trois ans imposé par le premier juge sera maintenu compte tenu notamment de son absence d’amendement. 8. L’appelante par voie de jonction, qui a obtenu une indemnité pour tort moral de 2'500 fr. en première instance, a conclu pour sa part à ce que lui soit allouée une indemnité en réparation de son tort moral fixée à dire de justice. L’appelant principal a conclu au rejet des conclusions civiles. 8.1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 ATF 118 II 410 c. 2a). Toute</w:t>
      </w:r>
    </w:p>
    <w:p>
      <w:r>
        <w:t>- 19 -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 8.2 En l’espèce, les faits retenus à charge étant confirmés, et même aggravés avec la contrainte sexuelle, les 2'500 fr. alloués par le premier juge à titre de réparation de son tort moral doivent être maintenus au vu de l’état de souffrance psychique dans lequel se trouve la plaignante, état attesté par le Dr [...] (P. 87). Vu la nature réformatoire de l’appel civil, l’appelant doit en principe prendre des conclusions sur le fond. Ses conclusions doivent être suffisamment précises pour qu’en cas d’admission de l’appel, elles puissent être reprises telles quelles dans le dispositif (ATF 137 III 617 c. 4.3 et 6.1, JT 2014 II 187). Ne répondant pas à cette condition, la conclusion prise par l’appelante par voie de jonction est irrecevable.</w:t>
      </w:r>
    </w:p>
    <w:p>
      <w:r>
        <w:rPr>
          <w:b/>
        </w:rPr>
        <w:t>E. 9</w:t>
      </w:r>
    </w:p>
    <w:p>
      <w:r>
        <w:t>En définitive, l’appel d’H.________ doit être partiellement admis et l’appel joint de G.________ également.</w:t>
      </w:r>
    </w:p>
    <w:p>
      <w:r>
        <w:rPr>
          <w:b/>
        </w:rPr>
        <w:t>E. 9.1</w:t>
      </w:r>
    </w:p>
    <w:p>
      <w:r>
        <w:t>L'indemnité de conseil d'office allouée pour la procédure d'appel à Me Denis Weber sera fixée à 2'268 fr., TVA compris, en tenant compte de onze heures d’activité à 180 fr. et d’une vacation.</w:t>
      </w:r>
    </w:p>
    <w:p>
      <w:r>
        <w:rPr>
          <w:b/>
        </w:rPr>
        <w:t>E. 9.2</w:t>
      </w:r>
    </w:p>
    <w:p>
      <w:r>
        <w:t>Vu l’issue de la cause, les frais de la présente procédure, constitués de l’émolument de jugement, par 1’830 fr., ainsi que de l'indemnité allouée au conseil d’office de la plaignante, par 2'268 fr., TVA compris, doivent être mis par quatre cinquième à la charge d’H.________ et par un cinquième à la charge de G.________.</w:t>
      </w:r>
    </w:p>
    <w:p>
      <w:r>
        <w:t>- 20 - H.________ ne sera tenu de rembourser à l’Etat les quatre cinquièmes de l’indemnité en faveur du conseil d’office de G.________ que lorsque sa situation financière le permettra (art. 135 al. 4 CPP). G.________ ne sera tenue de rembourser à l’Etat le cinquième de l’indemnité en faveur de son conseil d’office que lorsque sa situation financière le permettra (art. 135 al. 4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