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PE12.006789 vom 18. April 2012</w:t>
      </w:r>
    </w:p>
    <w:p>
      <w:r>
        <w:t>VD Tribunal cantonal, 2012-04-18, FR</w:t>
      </w:r>
    </w:p>
    <w:p>
      <w:r>
        <w:rPr>
          <w:b/>
        </w:rPr>
        <w:t xml:space="preserve">Quelle: </w:t>
      </w:r>
      <w:r>
        <w:t>https://mcp.opencaselaw.ch/entscheid/vd_gerichte_PE12.006789</w:t>
      </w:r>
    </w:p>
    <w:p>
      <w:r>
        <w:t>FR: VD_GERICHTE PE12.006789 du 18 avril 2012</w:t>
      </w:r>
    </w:p>
    <w:p>
      <w:r>
        <w:t>IT: VD_GERICHTE PE12.006789 del 18 aprile 2012</w:t>
      </w:r>
    </w:p>
    <w:p>
      <w:pPr>
        <w:pStyle w:val="Heading2"/>
      </w:pPr>
      <w:r>
        <w:t>Erwägungen</w:t>
      </w:r>
    </w:p>
    <w:p>
      <w:r>
        <w:rPr>
          <w:b/>
        </w:rPr>
        <w:t>E. 1</w:t>
      </w:r>
    </w:p>
    <w:p>
      <w:r>
        <w:t>TFJP [Tarif des frais judiciaires pénaux du 28 septembre 2010, RSV 312.03.1]), sont mis à la charge du recourant qui succombe (art. 428 al. 1 CPP). Par ces motifs, la Chambre des recours pénale, statuant à huis clos : I. Rejette le recours. II. Confirme l'ordonnance de non-entrée en matière. III. Dit que les frais du présent arrêt, par 550 fr. (cinq cent cinquante francs), sont mis à la charge du recourant A.S.________. IV. Déclare le présent arrêt exécutoire. Le président : Le greffier :</w:t>
      </w:r>
    </w:p>
    <w:p>
      <w:r>
        <w:t>- 7 - Du La décision qui précède, dont la rédaction a été approuvée à huis clos, est notifiée, par l'envoi d'une copie complète, à : - M. A.S.________,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