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PE12.005881 vom 17. März 2017</w:t>
      </w:r>
    </w:p>
    <w:p>
      <w:r>
        <w:t>VD Tribunal cantonal, 2017-03-17, FR</w:t>
      </w:r>
    </w:p>
    <w:p>
      <w:r>
        <w:rPr>
          <w:b/>
        </w:rPr>
        <w:t xml:space="preserve">Quelle: </w:t>
      </w:r>
      <w:r>
        <w:t>https://mcp.opencaselaw.ch/entscheid/vd_gerichte_PE12.005881</w:t>
      </w:r>
    </w:p>
    <w:p>
      <w:r>
        <w:t>FR: VD_GERICHTE PE12.005881 du 17 mars 2017</w:t>
      </w:r>
    </w:p>
    <w:p>
      <w:r>
        <w:t>IT: VD_GERICHTE PE12.005881 del 17 marzo 2017</w:t>
      </w:r>
    </w:p>
    <w:p>
      <w:pPr>
        <w:pStyle w:val="Heading2"/>
      </w:pPr>
      <w:r>
        <w:t>Erwägungen</w:t>
      </w:r>
    </w:p>
    <w:p>
      <w:r>
        <w:rPr>
          <w:b/>
        </w:rPr>
        <w:t>E. 3.1</w:t>
      </w:r>
    </w:p>
    <w:p>
      <w:r>
        <w:t>; Corboz, op. cit., n. 31 ad art. 165 CP). L'existence d'une situation d'insolvabilité ou d'un surendettement est une condition objective de punissabilité de l'infraction de gestion fautive (TF 6B_135/2014 précité consid. 3.3). L’insolvabilité se définit comme l’impossibilité de payer des dettes exigibles de manière durable (Dupuis et al., op. cit., n. 24 ad art. 165 CP). Il suffit que l’acte de gestion ait joué un rôle causal en contribuant à l’apparition du surendettement ou à son aggravation et qu’il ait été propre, d’après le cours ordinaire des choses et l’expérience de la vie, à entraîner un tel résultat (ATF 115 IV 38 consid. 2 ; TF 6B_135/2014 précité).</w:t>
      </w:r>
    </w:p>
    <w:p>
      <w:r>
        <w:rPr>
          <w:b/>
        </w:rPr>
        <w:t>E. 3.2.1</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Cette maxime n’oblige pas le juge à administrer d’office de nouvelles preuves lorsqu’il a déjà formé son opinion sur la base du dossier et parvient à la conclusion que les preuves en question ne sont pas décisives pour la solution du litige ou ne pourraient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Petit Commentaire CPP, 2e éd., Bâle 2016, nn.</w:t>
      </w:r>
    </w:p>
    <w:p>
      <w:r>
        <w:rPr>
          <w:b/>
        </w:rPr>
        <w:t>E. 3.2.2</w:t>
      </w:r>
    </w:p>
    <w:p>
      <w:r>
        <w:t>L’art. 152 CP réprime le comportement de celui qui, notamment en qualité de membre du conseil d’administration ou de l’organe de révision ou liquidateur d’une société commerciale, coopérative ou d’une autre entreprise exploitée en la forme commerciale, aura donné ou fait donner, dans des communications au public ou dans des rapports ou propositions destinés à l’ensemble des associés d’une société commerciale ou coopérative ou aux participants à une autre entreprise exploitée en la forme commerciale, des renseignements faux ou incomplets d’une importance considérable susceptibles de déterminer</w:t>
      </w:r>
    </w:p>
    <w:p>
      <w:r>
        <w:t>- 10 - autrui à disposer de son patrimoine de manière préjudiciable à ses intérêts pécuniaires. Les renseignements faux et incomplets visés par cette disposition doivent revêtir une importance considérable. Cela signifie que les renseignements doivent être propres à déterminer leurs destinataires à disposer de leur patrimoine de manière préjudiciable. On peut citer à ce sujet les renseignements faux ou incomplets concernant le capital-actions ou l’activité commerciale (Dupuis et al., Petit Commentaire CP, 2e éd., Bâle 2017, n. 15 ad art. 152 CP, p. 1005).</w:t>
      </w:r>
    </w:p>
    <w:p>
      <w:r>
        <w:rPr>
          <w:b/>
        </w:rPr>
        <w:t>E. 3.3</w:t>
      </w:r>
    </w:p>
    <w:p>
      <w:r>
        <w:t>En l’espèce, le descriptif d’activités litigieux datait des années 2006 et 2007. Les organismes concernés ont été invités à se déterminer près de dix ans après l’établissement et la communication de cette documentation au public. Il n’est donc pas étonnant qu’ils aient pu oublier des détails, notamment quant aux motifs de leur intérêt pour les activités d’A.________ SA, et qu’ils n’aient pu fournir à ce sujet que des renseignements relativement imprécis. Quoi qu’il en soit, plusieurs éléments figurant au dossier attestent que des établissements connus ont eu des contacts avec la société A.________ SA et ses administrateurs (cf. P. 64, 67 et 86). Il est vrai que la Banque G.________ SA et [...] ont contesté l’existence de relations contractuelles avec A.________ SA. Ce point n’est toutefois pas déterminant, puisque les recourants avancent que c’est la qualité technologique des produits d’A.________ SA qui n’aurait pas été reconnue par des tiers. Or, aucune des entreprises interpellées par le procureur n’a contesté ce point ni n’a infirmé la présentation des faits opérée par A.________ SA dix ans auparavant. Il en va ainsi notamment de [...], dont les représentants ont confirmé avoir assisté à deux démonstrations, même s’ils n’étaient plus certains de l’identité de leurs interlocuteurs (P. 86). Au vu de ce qui précède, l’instruction n’a pas permis d’établir que les intimés auraient délibérément fourni, dans le descriptif d’activités litigieux, des renseignements qui puissent être qualifiées de faux au sens</w:t>
      </w:r>
    </w:p>
    <w:p>
      <w:r>
        <w:t>- 11 - de l’art. 152 CP. Faute de soupçons suffisants, la mise en accusation ne saurait être prononcée de ce chef. Par surabondance, on relèvera que l’infraction précitée, passible d’une peine privative de liberté de trois ans au plus ou d’une peine pécuniaire, était soumise à une prescription de sept ans (art. 97 al. 1 let. c CPP). Les renseignements incriminés ayant été communiqués au public en 2006 et 2007, l’infraction est aujourd’hui prescrite.</w:t>
      </w:r>
    </w:p>
    <w:p>
      <w:r>
        <w:rPr>
          <w:b/>
        </w:rPr>
        <w:t>E. 4</w:t>
      </w:r>
    </w:p>
    <w:p>
      <w:r>
        <w:t>et 8 ad art. 6 CPP, pp. 39-40, et les références citées).</w:t>
      </w:r>
    </w:p>
    <w:p>
      <w:r>
        <w:rPr>
          <w:b/>
        </w:rPr>
        <w:t>E. 4.1</w:t>
      </w:r>
    </w:p>
    <w:p>
      <w:r>
        <w:t>Les recourants soutiennent qu’en prélevant des comptes de la société faillie, en janvier 2012, un montant de 212'000 fr. pour l’investir dans sa villa, P.________ se serait rendu coupable de gestion déloyale (art. 158 CP), de diminution effective de l’actif au préjudice des créanciers (art. 164 CP) et de gestion fautive (art. 165 CP).</w:t>
      </w:r>
    </w:p>
    <w:p>
      <w:r>
        <w:rPr>
          <w:b/>
        </w:rPr>
        <w:t>E. 4.2.1</w:t>
      </w:r>
    </w:p>
    <w:p>
      <w:r>
        <w:t>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(ch. 1 al. 1). Le cas de la gestion déloyale aggravée est réalisé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 sur le plan subjectif, il faut qu’il ait agi intentionnellement. Le dol éventuel suffit, à la condition qu’il soit strictement caractérisé (Corboz, Les infractions en droit suisse, vol. I, 3e éd., Berne 2010, n. 13 ad art. 158 CP).</w:t>
      </w:r>
    </w:p>
    <w:p>
      <w:r>
        <w:t>- 12 - Le devoir de gestion implique un pouvoir sur les biens d’autrui comportant une indépendance suffisante, un droit de disposition autonome, une certaine latitude qui caractérise le devoir de fidélité dont la violation est punissable (ATF 123 IV 17 consid. 3b). Ce pouvoir peut se manifester non seulement par la passation d’actes juridiques, mais également par la défense, sur Ie plan interne, d’intérêts patrimoniaux ou par des actes matériels. Il faut cependant que le gérant ait une autonomie suffisante sur tout ou partie de la fortune d’autrui, sur les moyens de production ou le personnel d’une entreprise (ATF 123 IV 17 consid. 3b ; ATF 120 IV 190 consid. 2b). 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120 IV 190 consid. 2b).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 la loi, mais aussi des statuts, des règlements ou des décisions de l'assemblée générale pour ce qui est d'une société anonyme (TF 6B_223/2010 du 13 janvier 2011 consid. 3.3.2). L’infraction de gestion déloyale n’est consommée que s’il y a eu un dommage patrimonial. Ce préjudice doit être en rapport de causalité avec la violation des devoirs (Corboz, op. cit., n. 10 ad art. 158 CP). Le dommage est une lésion du patrimoine sous la forme d’une diminution de l’actif, d’une augmentation de passif, d’une non-augmentation de l’actif ou d’une non-diminution du passif, mais aussi d’une mise en danger de celui- ci telle qu’elle a pour effet d’en diminuer la valeur du point de vue économique. Par ailleurs, un préjudice temporaire suffit (ATF 122 IV 279 consid. 2a ; ATF 121 IV 104 consid. 2c ; ATF 120 IV 122 consid. 6b/bb). Il n’est pas nécessaire que le dommage corresponde à l’enrichissement de</w:t>
      </w:r>
    </w:p>
    <w:p>
      <w:r>
        <w:t>- 13 - l’auteur, ni qu’il soit chiffré ; il suffit qu’il soit certain (ATF 123 IV 17 consid. 3d). L’infraction est consommée lorsque l’auteur a causé un dommage au patrimoine qu’il devait protéger (Corboz, ibid.). Il importe peu que le comportement délictueux soit une action ou une omission (Message du Conseil fédéral concernant la modification du code pénal suisse et du code pénal militaire [Infractions contre le patrimoine et faux dans les titres] ainsi que la modification de la loi fédérale sur l'approvisionnement économique du pays, FF 1991 II 933, spéc. 1019), un acte juridique ou un acte matériel (Corboz, op. cit., n. 9 ad art. 158 CP et les réf. citées).</w:t>
      </w:r>
    </w:p>
    <w:p>
      <w:r>
        <w:rPr>
          <w:b/>
        </w:rPr>
        <w:t>E. 4.2.2</w:t>
      </w:r>
    </w:p>
    <w:p>
      <w:r>
        <w:t>L'art. 164 ch. 1 CP sanctionne la diminution effective par le débiteur de son actif au préjudice des créanciers. Cette disposition envisage trois hypothèses : premièrement la détérioration, la destruction, la dépréciation ou la mise hors d'usage de valeurs patrimoniales (al. 1), deuxièmement leur cession à titre gratuit ou contre une prestation de valeur manifestement inférieure (al. 2) et troisièmement le refus sans raison valable de droits qui reviennent au débiteur ou la renonciation gratuite à de tels droits (al. 3). L'art. 164 ch. 1 CP n'est applicable que si le débiteur a été déclaré en faillite ou si un acte de défaut de biens a été dressé contre lui. Le comportement sanctionné par cette disposition doit être distingué de celui visé par l'art. 163 CP qui réprime la banqueroute frauduleuse et la fraude dans la saisie. Alors que l'art. 164 CP s'applique au débiteur qui diminue effectivement son actif à l'occasion d'une procédure de faillite ou de poursuite pour dettes, par exemple en détruisant des biens ou en procédant à des libéralités, l'art. 163 CP vise le débiteur qui diminue fictivement le patrimoine pour désintéresser les créanciers par la voie de la poursuite pour dettes (TF 6B_575/2009 du 14 janvier 2010 consid. 1.1).</w:t>
      </w:r>
    </w:p>
    <w:p>
      <w:r>
        <w:t>- 14 - L'énumération de l'art. 164 ch. 1 CP est exhaustive (ATF 131 IV 49 consid. 1.2 p. 51). Faute d'être mentionnée, l'aliénation d'un actif à sa valeur vénale ne peut être sanctionnée en vertu de cette disposition. Il en va de même de l'augmentation du passif. Ne viole pas non plus l'art. 164 ch. 1 al. 3 CP l'organe habilité à engager le débiteur qui règle pour lui une dette échue et exigible relative à un prêt. Il est à cet égard sans incidence que l'organe qui agit ainsi soit également le créancier du prêt (ATF 131 IV 49 consid. 1.3). L'infraction visée par l'art. 164 ch. 1 CP est intentionnelle, le dol éventuel suffit. Outre l'intention générale, cette disposition exige que l'auteur ait l'intention de causer un dommage à son ou ses créanciers (TF 6B_617/2010 du 24 novembre 2010 consid. 2.1).</w:t>
      </w:r>
    </w:p>
    <w:p>
      <w:r>
        <w:rPr>
          <w:b/>
        </w:rPr>
        <w:t>E. 4.2.3</w:t>
      </w:r>
    </w:p>
    <w:p>
      <w:r>
        <w:t>En vertu de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L’art. 29 let. a CP permet d’imputer à une personne physique un devoir particulier incombant à la personne morale, dans la mesure où cette personne physique a agi en qualité d’organe de la personne morale. La gestion fautive doit avoir pour conséquence le surendettement du débiteur ou son insolvabilité.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w:t>
      </w:r>
    </w:p>
    <w:p>
      <w:r>
        <w:t>- 15 - les passifs excèdent les actifs (TF 6B_135/2014 du 30 octobre 2014 consid.</w:t>
      </w:r>
    </w:p>
    <w:p>
      <w:r>
        <w:rPr>
          <w:b/>
        </w:rPr>
        <w:t>E. 4.3</w:t>
      </w:r>
    </w:p>
    <w:p>
      <w:r>
        <w:t>En l’espèce, l’argumentation des recourants est fondée sur le fait que le prêt litigieux aurait été accordé à P.________ au mois de janvier 2012. Or, les protocoles des séances du conseil d’administration d’A.________ SA des 4 et 26 janvier 2012 (P. 31/5 et 31/4) ne permettent nullement d’établir que P.________ aurait retiré au mois de janvier 2012 le montant de 212'000 fr. des comptes de la société faillie pour les investir dans sa villa. Dans le procès-verbal de la séance du 4 janvier 2012, invoqué par les recourants, on peut lire ce qui suit : « Dans le but de pouvoir mettre à disposition d’A.________ SA, dans les moments difficiles, une hypothèque sur leur villa, la famille P.________ a demandé et obtenu CHF 212'000.- de la société pour le financement des travaux de leur maison privée. Cette créance est toujours ouverte » (P. 31/5). Cette pièce n’indique pas à quelle date les montants en question ont été mis à la disposition de la famille P.________. Quant au procès-verbal du 26 janvier 2012, il se borne à évoquer la créance d’A.________ SA, sans toutefois indiquer quand elle est née (P. 31/4). En réalité, et contrairement à ce qu’allèguent les recourants, le prêt n’est pas intervenu en janvier 2012, mais les 20 mai et 5 juillet 2011, en deux tranches de 100'000 fr. respectivement 112'000 francs (P. 87/2). A cette époque, A.________ SA disposait de liquidités et ne se trouvait pas en situation de surendettement (P. 87/2). Les recourants ne soutiennent d’ailleurs pas qu’à l’époque où ces fonds ont été mis à la disposition de la</w:t>
      </w:r>
    </w:p>
    <w:p>
      <w:r>
        <w:t>- 16 - famille P.________, la société avait déjà suspendu ses paiements, puisqu’ils relèvent que c’est depuis le mois de décembre 2011 seulement qu’A.________ SA manquait de liquidités et que les salaires des employés n’étaient plus versés entièrement. Par ailleurs, l’instruction n’a pas permis d’établir que les intimés auraient voulu léser les intérêts de la société dont ils étaient alors les administrateurs, de lui causer un dommage ou d’aggraver une situation d’endettement ou d’insolvabilité. Les recourants sollicitent la production, par P.________, de la preuve que le montant de 212'000 fr. emprunté à la société à l’époque où elle ne versait plus la totalité des salaires de ses employés ni les cotisations sociales, avait été remboursé à la société ou qu’une hypothèque avait effectivement été mise à sa disposition. Cette réquisition n’est toutefois pas pertinente dès lors que, comme on l’a vu, l’enquête a permis d’établir que le prêt en question avait été accordé, entre le 20 mai et le 5 juillet 2011, à une époque où la société ne rencontrait pas de difficultés financières, et où les salaires et les cotisations sociales étaient régulièrement payés (P. 87/2 et 115/6/1). Au vu de ce qui précède, les soupçons sont insuffisants pour envisager la mise en accusation des intimés des chefs de gestion déloyale (art. 158 CP), diminution effective de l’actif au préjudice des créanciers (art. 164 CP) et gestion fautive (art. 165 CP).</w:t>
      </w:r>
    </w:p>
    <w:p>
      <w:r>
        <w:rPr>
          <w:b/>
        </w:rPr>
        <w:t>E. 5.1</w:t>
      </w:r>
    </w:p>
    <w:p>
      <w:r>
        <w:t>Reprenant les griefs articulés dans leurs plaintes, les recourants reprochent aux prévenus de les avoir confortés dans leur choix d’investissement en leur exposant que la valeur de la franchise relative à la vente du droit exclusif d’exploiter l’infrastructure sociale des risques Internet était particulièrement élevée, alors qu’en réalité, il s’était avéré qu’elle ne pouvait pas être évaluée et, partant, qu’elle ne correspondait nullement au montant de 23'834'000 fr. comptabilisés dans les actifs de la</w:t>
      </w:r>
    </w:p>
    <w:p>
      <w:r>
        <w:t>- 17 - société à son dernier bilan. Invoquant une violation de l’art. 6 CPP, ils reprochent au Ministère public de ne pas avoir suffisamment instruit cette question, en particulier de ne pas avoir ordonné une expertise fiduciaire.</w:t>
      </w:r>
    </w:p>
    <w:p>
      <w:r>
        <w:rPr>
          <w:b/>
        </w:rPr>
        <w:t>E. 5.2</w:t>
      </w:r>
    </w:p>
    <w:p>
      <w:r>
        <w:t>Le Ministère public a considéré que le caractère fictif du bénéfice de 24'248'716 fr. qui découlait de l’évaluation de la franchise litigieuse, respectivement de son prix de vente, ne pouvait pas être déduit du jugement de faillite du Tribunal d’arrondissement de La Côte du 10 mai 2012. Ce jugement s’était en effet borné à constater que les conditions d’application de l’art. 190 al. 1 ch. 2 LP étaient réalisées pour faire droit à la requête de faillite sans poursuite préalable de W.________ SA, cette société ayant suspendu ses paiements. Le procureur a également relevé que les résultats de l’expertise mise en œuvre par l’Office des faillites de l’arrondissement de La Côte (cf. P. 31/2) n’étaient pas déterminants. L’expert avait en effet reconnu être dans « l’impossibilité d’évaluer l’avantage commercial qu’apportait ou aurait apporté un monopole sur les technologies décrites », précisant que la valeur ressortant de son expertise était purement indicative puisqu’elle ne présumait en rien de la validité des demandes [de brevet], ni de l’intérêt économique de la technologie décrite ». Le Ministère public a par ailleurs exposé que, selon l’organe de révision V.________ SA, le prix de vente de la franchise litigieuse « découlait d’une évaluation raisonnable des résultats futurs selon les organes dirigeants » (P. 5/2/5). Le potentiel économiques des produits d’A.________ SA avait fait l’objet d’une étude de marché concluant à l’appréciation de la franchise à hauteur de 232'971'517 fr. (P. 19/1/1). A réception de cette pièce, l’organe de révision avait mis en œuvre un spécialiste en actifs incorporels afin d’évaluer la plausibilité de cette valeur (P. 19/1/3). Les dirigeants d’A.________ SA avaient fourni à ce spécialiste des informations complémentaires détaillées (P. 19/1/4). Par ailleurs, l’avenant au contrat de franchise du 13 décembre 2011, élaboré avec le concours de l’organe de révision (P. 19/1/6), prévoyait que le paiement du solde des 233'000'000 fr. en mains d’A.________ SA « pouvait être revu à la baisse si les chiffres d’affaires générés par l’exploitation de la franchise ne</w:t>
      </w:r>
    </w:p>
    <w:p>
      <w:r>
        <w:t>- 18 - correspondaient pas aux hypothèses utilisées par le business plan et ne permettaient pas d’assurer le règlement du prix ». Le procureur a précisé que, si le spécialiste n’avait pas pu se prononcer sur la valeur de la franchise (P. 51), l’organe de révision n’en avait pas moins émis une réserve dans son rapport de révision des comptes au 30 juin 2011 en indiquant que « l’appréciation définitive du risque de non-recouvrement de cette créance n’est actuellement pas possible » (P. 5/2/5). Le Ministère public a jugé en définitive que le dossier ne comportait aucun élément concret permettant d’établir que le prix de vente de la franchise litigieuse avait été volontairement surévalué par les administrateurs, au détriment des créanciers ou des actionnaires, respectivement que sa comptabilisation avait été fautivement avalisée par l’organe de révision.</w:t>
      </w:r>
    </w:p>
    <w:p>
      <w:r>
        <w:rPr>
          <w:b/>
        </w:rPr>
        <w:t>E. 5.3</w:t>
      </w:r>
    </w:p>
    <w:p>
      <w:r>
        <w:t>Les recourants se contentent de réitérer les reproches adressés aux prévenus, opposant leur propre appréciation à celle du Ministère public, sans véritablement discuter les motifs de l’ordonnance attaquée et expliquer précisément en quoi l’enquête aurait révélé des éléments tendant à démontrer que le prix de vente de la franchise litigieuse aurait été volontairement surévalué par les intimés. L’ordonnance entreprise échappe par ailleurs à la critique sur ce point, l’instruction ayant permis d’établir que les intimés avaient mis en place un processus faisant intervenir des tiers qualifiés pour évaluer la valeur de la créance. En outre, les recourants, qui fondent leur argumentation sur le montant de la créance litigieuse arrêté à 23'834'000 fr. dans le dernier bilan d’A.________ SA, perdent de vue que ce dernier bilan, au 30 juin 2011, a été établi le 20 décembre 2011. Or, les recourants ont souscrit les actions de la société A.________ SA en 2007 pour K.________, en 2008 pour M.________, en 2010 pour A.J.________ et en avril 2011 pour U.________. Il en</w:t>
      </w:r>
    </w:p>
    <w:p>
      <w:r>
        <w:t>- 19 - résulte que, contrairement à ce soutiennent les recourants, les souscriptions en question ne peuvent pas avoir été déterminées de quelque manière que ce soit par la valorisation litigieuse, qui est postérieure à l’acquisition des actions d’A.________ SA. Compte tenu de ce qui précède et de la difficulté qu’il y avait à évaluer la valeur de l’infrastructure et de son exploitation par l’intermédiaire d’une franchise (P. 51/1 ss), il est inutile de procéder, comme le demandent les recourants, à l’audition de [...], ancien directeur financier d’A.________ SA, et d’ [...], ancien comptable, et d’ordonner la mise en œuvre d’une expertise financière.</w:t>
      </w:r>
    </w:p>
    <w:p>
      <w:r>
        <w:rPr>
          <w:b/>
        </w:rPr>
        <w:t>E. 6.1</w:t>
      </w:r>
    </w:p>
    <w:p>
      <w:r>
        <w:t>Les recourants soutiennent que les prévenus, en omettant de déposer le bilan au plus tard à la fin de l’année 2011, alors qu’ils savaient que la société était surendettée et qu’il y avait une suspension durable des paiements, se seraient rendus coupables de gestion fautive au sens de l’art. 165 CP.</w:t>
      </w:r>
    </w:p>
    <w:p>
      <w:r>
        <w:rPr>
          <w:b/>
        </w:rPr>
        <w:t>E. 6.2</w:t>
      </w:r>
    </w:p>
    <w:p>
      <w:r>
        <w:t>S’agissant des éléments constitutifs de cette infraction, il y a lieu de se référer à ce qui a été exposé au considérant 4.2.3 ci-dessus.</w:t>
      </w:r>
    </w:p>
    <w:p>
      <w:r>
        <w:rPr>
          <w:b/>
        </w:rPr>
        <w:t>E. 6.3</w:t>
      </w:r>
    </w:p>
    <w:p>
      <w:r>
        <w:t>Le Ministère public a relevé, dans l’ordonnance attaquée, que le dernier rapport de l’organe de révision, du 20 décembre 2011, porté à la connaissance des prévenus relatifs aux comptes annuels arrêtés au 30 juin 2011, ne faisait nullement mention d’une situation de surendettement (P. 5/2/5). Si la situation d’A.________ SA y apparaissait largement bénéficiaire, c’était en raison de la seule créance de 23'834'000 fr. à l’endroit A.________ International SA nouvellement portée à l’actif du bilan. Le Procureur a expliqué que, si l’intégralité de la créance litigieuse était retirée du bilan, les conditions prévues par l’art. 725 al. 1 et 2 CO n’étaient pas réalisées, puisque le bénéfice de l’exercice retomberait alors théoriquement à 414'716 fr. et qu’en tenant compte des pertes reportées, le déficit global s’élèverait à 2'131'551 francs. Or, ce montant était largement en deçà de la moitié du capital-actions et des réserves légales</w:t>
      </w:r>
    </w:p>
    <w:p>
      <w:r>
        <w:t>- 20 - dûment comptabilisées (cf. art. 725 al. 1 CO), correspondant à 3'716'855 francs.</w:t>
      </w:r>
    </w:p>
    <w:p>
      <w:r>
        <w:rPr>
          <w:b/>
        </w:rPr>
        <w:t>E. 6.4</w:t>
      </w:r>
    </w:p>
    <w:p>
      <w:r>
        <w:t>En l’espèce, les recourants ne remettent pas cause les calculs auxquels s’est livré le Ministère public. De nouveau, ils se bornent à opposer leur appréciation à celle du Ministère public sans discuter les motifs de l’ordonnance attaquée. En particulier, ils n’expliquent pas en quoi, à leurs yeux, les conditions d’un dépôt de bilan étaient réalisées à la fin de l’année 2011. Il est vrai que la société A.________ SA a rencontré des problèmes de liquidités à partir du mois de décembre 2011. Cette circonstance, contrairement au surendettement, n’oblige toutefois pas les administrateurs à déposer le bilan (art. 725 al. 2 CO), des retards dans les paiements ne pouvant être qualifiés de fautes de gestion au sens de l’art. 165 CP. Enfin, il y a lieu de constater que la faillite d’A.________ SA a été requise par certains recourants, contre l’avis de la recourante M.________ et d’autres actionnaires (P. 102), et alors que la société était occupée, depuis le 28 juin 2011, à lancer la phase initiale de commercialisation de ses produits (cf. P. 5/2/5). Compte tenu des éléments qui précèdent, c’est à juste titre que le Ministère public a considéré qu’à la fin de l’année 2011, les prévenus n’étaient pas fondés à penser qu’A.________ SA était surendettée et que, partant, les éléments constitutifs de l’infraction de gestion fautive n’étaient pas réalisés.</w:t>
      </w:r>
    </w:p>
    <w:p>
      <w:r>
        <w:rPr>
          <w:b/>
        </w:rPr>
        <w:t>E. 7.1</w:t>
      </w:r>
    </w:p>
    <w:p>
      <w:r>
        <w:t>Les recourants imputent aux prévenus l’infraction de violation de l’obligation de tenir une comptabilité (art. 166 CP) pour ne pas avoir remis à l’organe de révision, malgré les sollicitations de celui-ci, la documentation relative à la comptabilité de la société A.________ SA pour la période comprise entre le 1er juillet 2011 et le 30 avril 2012, date de sa faillite. Ils reprochent également au procureur de s’être fondé exclusivement sur les déclarations de l’intimé N.________.</w:t>
      </w:r>
    </w:p>
    <w:p>
      <w:r>
        <w:t>- 21 -</w:t>
      </w:r>
    </w:p>
    <w:p>
      <w:r>
        <w:rPr>
          <w:b/>
        </w:rPr>
        <w:t>E. 7.2</w:t>
      </w:r>
    </w:p>
    <w:p>
      <w:r>
        <w:t>Selon l'art. 166 CP,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(TF 6S_142/2003 du 4 juillet 2003 consid. 4). Dans chaque cas, il faut encore un résultat : il ne doit pas être possible d'établir la situation du débiteur ou de l'établir complètement. Cette conséquence est cependant en règle générale liée à la violation de l'obligation de tenir la comptabilité (TF 6P.136/2005 du 27 février 2006 consid. 9.1). L'infraction définie à l'art. 166 CP est intentionnelle. Le dol éventuel suffit (ATF 117 IV 163 consid. 2b; ATF 117 IV 449 consid. 5b). L’intention porte aussi bien sur le fait de ne pas tenir les livres prescrits que de les tenir de manière insuffisante, ainsi que sur le fait que la situation financière ne peut plus être établie ou plus complétement (ATF 72 IV 17, JdT 1946 IV 118). Il faut que l’auteur ait su que les livres qu’il devait tenir étaient insuffisants et qu’ils ne donnaient pas une image exacte ou complète de la situation financière de son entreprise. Il n’est toutefois pas nécessaire qu’il ait eu l’intention de masquer la situation réelle (Dupuis et al., op. cit., n. 10 ad art. 166 CP).</w:t>
      </w:r>
    </w:p>
    <w:p>
      <w:r>
        <w:rPr>
          <w:b/>
        </w:rPr>
        <w:t>E. 7.3</w:t>
      </w:r>
    </w:p>
    <w:p>
      <w:r>
        <w:t>En l’espèce, il est vrai que, selon les informations communiquées par l’organe de révision V.________ SA, les dirigeants de W.________ SA ne lui ont pas remis la documentation relative à la comptabilité de la société pour la période comprise entre le 1er juillet 2011 et le 30 avril 2012 (P. 92 et 102/4).</w:t>
      </w:r>
    </w:p>
    <w:p>
      <w:r>
        <w:t>- 22 - La brièveté de cette période ne permet toutefois pas de se convaincre que les organes d’A.________ SA aient eu l’intention de se soustraire de manière durable à leur obligation, qu’ils avaient jusque-là assumée. En outre et surtout, l’instruction a permis d’établir que toutes les opérations financières effectuées par la société transparaissaient sur ses comptes bancaires (cf. P. 98/1). Cela ne résulte pas seulement des déclarations de l’intimé N.________, contrairement à ce que soutiennent les recourants, mais également des informations fournies par la Fiduciaire [...] SA (P. 98/1). Les éléments nécessaires pour reconstituer les comptes de la société pour la période incriminée figurent au dossier (cf. P. 87, 88, 98/2 et 98/3). Dans ces circonstances, la réquisition tendant à la production des justificatifs comptables apparaît inutile. Il en va de même de la réquisition tendant à l’audition de [...], ancienne secrétaire de direction de la société. En effet, sa déposition n’est pas susceptible de remettre en question l’appréciation du Ministère public pour la période comprise entre le 1er octobre 2011 et le 30 avril 2012. Quant à la période comprise entre le 1er juillet et le 30 septembre 2011, l’instruction a établi que la Fiduciaire [...] SA avait été en mesure de procéder à un bouclement des comptes au 30 septembre 2011 (P. 98/1). Enfin, la production des justificatifs comptables dont les prévenus ont allégué disposer, selon lettre du conseil d’N.________ du 4 avril 2016, ne se justifie pas. Ces pièces, en effet, ne sont pas nécessaires pour établir que les comptes pouvaient être reconstitués de manière suffisante au moyen d’autres éléments figurant déjà au dossier. Il résulte de ce qui précède que les éléments constitutifs de l’infraction de violation de l’obligation de tenir une comptabilité ne sont pas réalisés, comme l’a retenu à raison le procureur.</w:t>
      </w:r>
    </w:p>
    <w:p>
      <w:r>
        <w:rPr>
          <w:b/>
        </w:rPr>
        <w:t>E. 8</w:t>
      </w:r>
    </w:p>
    <w:p>
      <w:r>
        <w:t>- 23 -</w:t>
      </w:r>
    </w:p>
    <w:p>
      <w:r>
        <w:rPr>
          <w:b/>
        </w:rPr>
        <w:t>E. 8.1</w:t>
      </w:r>
    </w:p>
    <w:p>
      <w:r>
        <w:t>Le recourant A.J.________ soutient qu’en utilisant à d’autres fins que celles convenues le prêt de 1'000'000 fr. qu’il avait accordé à P.________, celui-ci se serait rendu coupable d’escroquerie (art. 146 CP), subsidiairement abus de confiance (art. 138 CP).</w:t>
      </w:r>
    </w:p>
    <w:p>
      <w:r>
        <w:rPr>
          <w:b/>
        </w:rPr>
        <w:t>E. 8.2.1</w:t>
      </w:r>
    </w:p>
    <w:p>
      <w:r>
        <w:t>Se rend coupable d'abus de confiance au sens de l'art. 138 ch. 1 al. 1 CP,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(ATF 120 IV 276 consid. 2). S'approprie une chose mobilière celui qui l'incorpore économiquement à son patrimoine, que ce soit pour la conserver, l'utiliser ou l'aliéner, c'est-à-dire qui en dispose comme s'il en était le propriétaire (ATF 118 IV 148 consid. 2a). L'appropriation implique, d'une part, que l'auteur veut la dépossession durable du propriétaire et, d'autre part, qu'il entend s'attribuer la chose, au moins pour un temps. Cette volonté doit se manifester par des signes extérieurs ; le comportement par lequel l'auteur démontre clairement sa volonté de ne pas respecter les droits de celui qui lui fait confiance est l'élément caractéristique de l'abus de confiance (ATF 121 IV 23 consid. 1c ; ATF 118 IV 148). Autrement dit, l'auteur, par un comportement objectivement constatable, se conduit comme s'il était le propriétaire de la chose et ceci en violation de l'accord qui lui a permis d'en acquérir la possession. Détruire la chose n'est pas une appropriation (Corboz, op. cit., pp. 236- 237).</w:t>
      </w:r>
    </w:p>
    <w:p>
      <w:r>
        <w:t>- 24 -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la restitution immédiatement en tout temps. Celui qui ne s'est engagé à tenir le bien confié à disposition de l'ayant droit qu'à un moment déterminé ou à l'échéance d'un délai déterminé s'enrichit illégitimement s'il n'a pas la volonté et la capacité de le restituer à ce moment précis (ATF 118 IV 27 consid. 31). Le dessein d'enrichissement illégitime fait en revanche défaut si, au moment de l'emploi illicite de la valeur patrimoniale, l'auteur paie la contre-valeur (cf. ATF 107 IV 166 consid. 2a), s'il avait à tout moment, ou le cas échéant, à la date convenue à cet effet, la volonté et la possibilité de le faire ("Ersatzbereitschaft"; ATF 118 IV 32 consid. 1a) ou encore s'il était en droit de compenser (ATF 105 IV 39 consid. 31). Le dessein d'enrichissement peut être réalisé par dol éventuel ; tel est le cas lorsque l'auteur envisage l'enrichissement comme possible et agit néanmoins, même s'il ne le souhaite pas, parce qu'il s'en accommode pour le cas où il se produirait (ATF 105 IV 29 consid. 3a).</w:t>
      </w:r>
    </w:p>
    <w:p>
      <w:r>
        <w:rPr>
          <w:b/>
        </w:rPr>
        <w:t>E. 8.2.2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CP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w:t>
      </w:r>
    </w:p>
    <w:p>
      <w:r>
        <w:t>- 25 - vérifier ou prévoit, en fonction des circonstances, qu'elle renoncera à le faire (ATF 135 IV 76 consid. 5.2 p. 81 s. et les arrêts cités). Une tromperie portant sur la volonté d’exécuter une prestation n’est pas astucieuse dans tous les cas, mais uniquement lorsque la vérification de la capacité d’exécution n’est pas possible, ne l’est que difficilement ou ne peut être raisonnablement exigée. Il y a également astuce si l’auteur conclut un contrat en ayant d’emblée l’intention de ne pas fournir sa prestation, alors que cette intention n’est pas décelable (cf. ATF 125 IV 124 consid. 3a ; ATF 118 IV 359 consid. 2 ; CREP du 15 janvier 2016/43 consid. 4).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 consid. 5.2 p. 81).</w:t>
      </w:r>
    </w:p>
    <w:p>
      <w:r>
        <w:rPr>
          <w:b/>
        </w:rPr>
        <w:t>E. 8.3</w:t>
      </w:r>
    </w:p>
    <w:p>
      <w:r>
        <w:t>En l’espèce, A.J.________ fonde ses accusations principalement sur deux lettres que les intimés lui ont adressées les 31 mai 2011 et 30 décembre 2011. Dans la lettre du 31 mai 2011, les prévenus écrivent au recourant A.J.________ : « Afin de pouvoir signer au plus vite l’acte de vente-emption pour l’acquisition par A.________ SA du bâtiment Centre d’affaires de [...] ( [...]), à [...] et, conformément à nos discussions, nous vous saurions gré de bien vouloir créditer le montant de CHF 1'000'000.- (un million de francs) (…) » (P. 5/2/8). Quant à la lettre du 30 décembre 2011, elle est conçue en ces termes : « En référence à notre conversation téléphonique de ce matin,</w:t>
      </w:r>
    </w:p>
    <w:p>
      <w:r>
        <w:t>- 26 - nous comprenons que vous subissiez des coûts liés au non- remboursement du prêt que vous nous avez consenti pour l’acte d’acquisition du bâtiment Centre d’affaires de [...] ( [...]) » (P. 5/2/9). Lors de l’audition de confrontation du 13 juin 2013, A.J.________ a notamment précisé que, contrairement à ce qui figurait dans sa plainte, aucun contrat de prêt n’avait en réalité été signé avec la société, la transaction ne résultant que de négociations orales avec P.________. P.________ a pour sa part affirmé que la somme de 1'000'000 fr. prêtée par A.J.________ était destinée au financement général de la société, ce qui comprenait l’acquisition de l’immeuble en cause, et qu’il n’aurait jamais été convenu que l’argent demeurerait sur un compte bloqué. Le prévenu a par ailleurs assuré avoir eu l’intention de procéder à cette acquisition. Il a ainsi expliqué que les 3'600'000 fr. nécessaires au paiement de l’acompte pour l’opération avaient été réunis sur un compte auprès d’un notaire. Il a précisé que sur ce montant, 600'000 fr. provenaient du versement opéré par A.J.________, le solde de 3'000'000 fr. ayant été financé par trois caisses de pensions. Quant au solde de 400'000 fr. prêté par A.J.________, il aurait été employé pour les besoins de la société (PV aud. 1, lignes 187 à 191 et 210 à 213). Aux dires de P.________, la vente de l’immeuble aurait finalement échoué en raison d’un désistement du propriétaire, qui ne se serait pas présenté. Cette assertion est contredite par le propriétaire de l’immeuble [...] qui, dans un courriel du 24 mai 2012, indiquait que le prévenu avait annulé au dernier moment le rendez-vous convenu le 13 octobre 2011 pour signer l’acte de vente (P. 11/2/18). Peu importe toutefois la raison pour laquelle la transaction a finalement échoué. Cette circonstance ne permet pas de nier la réalité de la transaction immobilière projetée par P.________. Il ressort en effet d’un courriel rédigé le 31 janvier 2012 par un représentant de M.________ que la vente de l’immeuble en question « se fera certainement, mais pas dans l’immédiat, car le propriétaire (…) préfère le garder pour le moment » (P.</w:t>
      </w:r>
    </w:p>
    <w:p>
      <w:r>
        <w:t>- 27 - 33/1/42). En outre, P.________ a apporté la preuve du versement de la somme de 1'000'000 fr. par chacune des trois institutions de prévoyance sur un compte de l’Association des Notaires vaudois (P. 57/0/11 à 57/0/13). Enfin, s’agissant de la somme de 600'000 fr. provenant du prêt de A.J.________, l’avis de crédit de l’Association des Notaires vaudois porte la mention: « transaction immobilière bâtiment administratif sis sur parcelle [...] à [...]» (P. 57/0/14). Pour le surplus, il ressort de la documentation figurant au dossier que la somme de 1'000'000 fr. versée le 1er juin 2011 par A.J.________ a été ventilée à hauteur de 400'000 fr. sur le compte [...] d’A.________ le 24 août 2011 et à hauteur de 600'000 fr. sur le compte de l’Association des Notaires vaudois le 12 octobre 2011 (P. 87/2). Le 27 décembre 2011, après l’échec de l’opération immobilière, la somme de 600'000 fr. a été rétrocédée à A.________ SA. Le 29 décembre 2011, les intimés ont informé A.J.________ des modalités de remboursement de son prêt, soit sous forme d’un premier paiement de 500'000 fr. et d’un autre versement de 539'169 fr. à régler à fin février 2012 (P. 5/2/10). Le 30 décembre 2011, la somme de 500'000 fr. a été versée à A.J.________. Le 13 janvier 2012, A.J.________ a signé le courrier du 29 décembre 2011 précité. Le recourant semble ainsi avoir eu le temps de constater que son prêt ne pourrait pas lui être remboursé immédiatement. En ne protestant pas au courrier du 29 décembre 2011, le recourant semble avoir accepté un remboursement à terme. Ces circonstances suggèrent en tout cas que l’intéressé savait que son prêt de 1'000'000 fr. était en partie destiné au financement d’A.________ SA, et non exclusivement à l’acquisition d’un immeuble. On conçoit d’ailleurs mal que le recourant A.J.________, qui a l’expérience des affaires et qui se prévaut du titre de conseiller d’entreprises, ait accepté, sans exiger une promesse de vente, de prêter une somme de 1'000'000 fr. s’il entendait que celui-ci soit affecté uniquement à l’acquisition d’un immeuble. Le procureur a par ailleurs relevé que la documentation bancaire figurant au dossier ne révélait aucun élément établissant que P.________ aurait détourné une partie du prêt de A.J.________ pour rénover</w:t>
      </w:r>
    </w:p>
    <w:p>
      <w:r>
        <w:t>- 28 - sa maison, les pièces invoquées à cet égard n’étant pas propres à étayer cette accusation. De plus, aucun indice tendait à démontrer que le montant de 212'000 fr. prêté à la famille P.________ provenait des fonds remis par A.J.________. Le recourant ne remet pas vraiment en cause cette appréciation. On relèvera, à toutes fins utiles, que les sommes de 100'000 fr. et 112'000 fr. versées au époux P.________ ont été payées les 20 mai et 5 juillet 2011, soit avant que le compte sur lequel elles ont été prélevées soit crédité du montant de 400'000 fr. provenant du prêt de A.J.________ (P. 101 et 102). Or, à l’époque des versements précités en faveur des époux P.________, le compte d’A.________ SA était suffisamment provisionné (P. 101 et 102). Enfin, l’audition de [...] n’apporterait aucun élément utile à l’enquête. On voit mal en effet comment la prénommée pourrait se prononcer sur la volonté des parties au contrat de prêt, puisqu’elle n’a pas pris part aux négociations. En outre, il n’est pas exclu que sa déposition puisse être entachée d’une certaine partialité, puisque, dans le cadre de la procédure de faillite, elle a pris des conclusions contre W.________ SA, sous la plume du conseil des recourants (cf. P. 115/6/2). Au vu de ce qui précède, les soupçons sont insuffisants pour prononcer la mise en accusation de P.________ du chef d’abus de confiance et d’escroquerie.</w:t>
      </w:r>
    </w:p>
    <w:p>
      <w:r>
        <w:rPr>
          <w:b/>
        </w:rPr>
        <w:t>E. 9</w:t>
      </w:r>
    </w:p>
    <w:p>
      <w:r>
        <w:t>En définitive, il apparaît que l’enquête est suffisamment instruite et qu’en cas de renvoi des intimés en jugement, les chances d’acquittement l’emportent largement sur les probabilités de condamnation. Le classement de la procédure est ainsi entièrement justifié. II. Recours de P.________ 1. Le recours déposé par le prévenu P.________, qui a la qualité pour recourir (cf. art. 382 al. 1 CPP) contre la décision fixant son indemnité au sens de l’art. 429 al. 1 let. a CPP, a été interjeté dans les formes</w:t>
      </w:r>
    </w:p>
    <w:p>
      <w:r>
        <w:t>- 29 - prescrites et dans le délai légal auprès de l’autorité compétente. Il est donc recevable. 2. 2.1 Le recourant conclut à l’allocation d’une indemnité de 14'800 fr. pour les dépenses occasionnées par l’exercice raisonnable de ses droits de procédure au sens de l’art. 429 al. 1 let. a CPP. 2.2 L'indemnité visée par l'art. 429 al. 1 let. a CPP doit correspondre au tarif usuel du barreau applicable dans le canton où la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 (TF 6B_561/2014 du 11 septembre 2014 consid. 2.2.1; TF 6B_392/2013 du 4 novembre 2013 consid. 2.3). Tel est le cas dans le canton de Vaud depuis le 1er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(TF 6B_74/2017 du 21 avril 2017 consid. 2.3). 2.3 En l’espèce, le Ministère public a retenu à juste titre que le recourant était fondé, compte tenu de la complexité de la cause, à</w:t>
      </w:r>
    </w:p>
    <w:p>
      <w:r>
        <w:t>- 30 - recourir aux services d’un mandataire professionnel pour assurer la défense de ses intérêts. Le recourant ne conteste pas le tarif horaire de 350 fr. appliqué par le procureur pour fixer le montant de son indemnité. Est donc seul litigieux le nombre d’heures retenues par le procureur. La liste des opérations déposée par le défenseur du recourant fait état de 43,04 heures. Le recourant a toutefois précisé que le nombre d’heures indiquées devait être ramené à 40 heures et 53 minutes (40,88 heures), expliquant qu’il ne fallait pas tenir compte du temps annoncé pour la vacation du 13 juin 2012 ni des opérations relatives à la plainte qu’il avait déposée contre divers actionnaires, respectivement employés de W.________ SA en liquidation, pour atteinte à l’honneur. Comme le relève le recourant, l’affaire présente une certaine complexité, en fait et en droit. Ces difficultés ne doivent toutefois pas être surestimées. Il est exact que neuf personnes ont déposé plainte pénale. Toutefois, les plaintes ne sont qu’au nombre de cinq, les quatre dernières reprenant d’ailleurs pour l’essentiel les mêmes griefs que la première. Ensuite, le recourant relève qu’il a obtenu une indemnité correspondant à 12 heures de travail, alors que son défenseur en avait annoncé 43. Le procureur a réduit de manière nettement plus importante l’indemnité allouée à P.________ que celle accordée au coprévenu N.________. Ce dernier s’est en effet vu octroyer une indemnité représentant 40 heures de travail, au lieu des 55 heures et 30 minutes alléguées. Cette comparaison n’est en soi pas pertinente, dès lors que les opérations relatives à la défense dépendent de facteurs individuels, propres à chaque prévenu, telle que la situation personnelle, la compréhension de la procédure et l’implication de chacun, notamment.</w:t>
      </w:r>
    </w:p>
    <w:p>
      <w:r>
        <w:t>- 31 - Il n’en reste pas moins que cette différence de traitement est difficilement explicable. Les prévenus se trouvaient en effet dans une situation analogue, les reproches qui leur étaient adressés étant pour l’essentiel les mêmes. Cela est d’autant plus vrai qu’N.________ a rapidement été mis hors de cause en ce qui concerne le prêt de 1'000'000 fr. accordé par A.J.________ à A.________ SA. Au vu de ce qui précède, il faut admettre que le nombre d’heures allégué apparaît globalement justifié, sous réserve toutefois de quelques postes surévalués. Premièrement, il ressort de la liste des opérations que 15,7 heures ont été consacrées à des conférences, que ce soit avec le recourant P.________ ou avec le conseil d’N.________. Certaines de ces conférences se sont succédées de manière rapprochée, en particulier en début de mandat. Il convient en outre de relever que le défenseur a adressé au recourant de nombreuses lettres et qu’il a eu avec lui de nombreux entretiens téléphoniques. Pour ces motifs, il y a lieu de retrancher 3 heures pour le poste relatif aux conférences. Ensuite, la liste des opérations fait état de 8,32 heures pour les entretiens téléphoniques avec le recourant et avec le conseil de son coprévenu. Ce poste est surévalué, compte tenu du nombre d’heures alléguées pour les conférences, lettres et courriels. Il se justifie par conséquent de retrancher 3 heures de ce chef. Enfin, le défenseur allègue avoir consacré 4,83 heures à la rédaction de lettres et de courriels au recourant. On retranchera une heure pour ce poste, eu égard aux nombreux contacts sous d’autres formes entre l’avocat et son client. Ainsi, du nombre d’heures annoncé par l’avocat, il se justifie d’en retrancher huit, ce qui donne au final 32,88 heures.</w:t>
      </w:r>
    </w:p>
    <w:p>
      <w:r>
        <w:t>- 32 - Quant aux débours, on admettra 300 fr., montant retenu par le procureur et qui n’est pas contesté. Enfin, il y a lieu de tenir compte d’une indemnité de vacation de 200 fr. pour l’audience du 13 juin 2012. En conclusion, au tarif horaire de 350 fr., on obtient pour les honoraires 11'508 fr., plus 300 fr. de débours et 200 fr. d’indemnité, soit un total 12'008 francs. S’agissant de la TVA, on notera que l’avocat a déclaré renoncer, par mesure de simplification, à requérir son paiement au prorata des opérations accomplies antérieurement au départ de son client de Suisse, dans le courant de l’année 2013. C’est ainsi un montant de 12'008 fr. qu’il convient d’allouer à P.________ à titre d’indemnité au sens de l’art. 429 al. 1 let. a CPP. III. En définitive, le recours déposé par U.________, M.________, A.J.________ et K.________ doit être rejeté et l’ordonnance confirmée en ce qui concerne le classement de la procédure dirigée contre les intimés. Le recours déposé par P.________ doit quant à lui être partiellement admis et l’ordonnance réformée au chiffre III de son dispositif en ce sens qu’un montant de 12'008 fr. est alloué à P.________ à titre d’indemnité au sens de l’art. 429 al. 1 let. a CPP. Les frais de la procédure de recours, constitués en l’espèce de l’émolument d’arrêt, par 3’410 fr. (art. 20 al. 1 TFIP), seront mis, à raison des trois quarts, par 2'557 fr. 50, à la charge de U.________, M.________, A.J.________ et K.________, solidairement entre eux (art. 418 al. 1 et 428 al. 1 CPP), le solde, par 852 fr. 50, étant laissé à la charge de l’Etat (art. 423 al. 1 CPP). P.________ et N.________, qui ont obtenu gain de cause sur le sort du recours contre l’ordonnance de classement, et qui ont procédé avec l’assistance d’un conseil professionnel, ont droit chacun à une indemnité pour les dépenses occasionnées par l’exercice raisonnable de leurs droits dans la procédure de recours (art. 429 al. 1 let. a CPP, applicable par renvoi de l’art. 436 al. 1 CPP). Ces indemnités seront fixées</w:t>
      </w:r>
    </w:p>
    <w:p>
      <w:r>
        <w:t>- 33 - à 1’400 fr. (soit quatre heures de travail au tarif horaire de 350 fr.; art. 26a al. 3 TFIP),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2 mars 2017/147 consid. 4 ; CREP 30 novembre 2016/816 consid. 3) –, par 112 fr., soit un total de 1'512 fr. pour chacune des indemnités. Elles seront mises à la charge des recourants, dans la mesure où ils succombent. En revanche, aucune indemnité au sens de l’art. 429 al. 1 let. a CPP ne sera allouée P.________ pour son recours dirigé contre le chiffre III de l’ordonnance de classement. En effet, en produisant au Ministère public une liste des opérations totalement caviardée, le prévenu ne s’est pas conformé à l’obligation de justifier ses prétentions, telle que l’impose la jurisprudence (TF 6B_842/2014 du 3 novembre 2014 ; TF 1B_475/2011 du</w:t>
      </w:r>
    </w:p>
    <w:p>
      <w:r>
        <w:rPr>
          <w:b/>
        </w:rPr>
        <w:t>E. 11</w:t>
      </w:r>
    </w:p>
    <w:p>
      <w:r>
        <w:t>janvier 2012 ; ATF 142 IV 163). Il est en effet nécessaire, pour que l’autorité puisse évaluer le montant demandé et en contrôler la justification, que l’avocat produise une liste d’opérations transparente et complète. Il ne saurait se retrancher derrière le secret professionnel, voire le secret des affaires ou un secret commercial. Du moment que l’avocat entend être indemnisé par l’Etat, il lui appartient de justifier ses opérations (TF 1B_475/2011 déjà cité). En ne procédant pas spontanément devant le procureur de manière conforme à la jurisprudence, P.________ a provoqué la décision contestée, et donc le recours. Par ces motifs, la Chambre des recours pénale prononce : I. Le recours de U.________, M.________, A.J.________ et K.________ est rejeté. II. Le recours de P.________ est partiellement admis.</w:t>
      </w:r>
    </w:p>
    <w:p>
      <w:r>
        <w:t>- 34 - III. L’ordonnance de classement est réformée comme il suit au chiffre III de son dispositif : - Alloue à P.________ une indemnité de 12'008 fr. (douze mille huit francs), au sens de l’art. 429 al. 1 let. a CPP, à la charge de l’Etat. L’ordonnance est confirmée pour le surplus. IV. Les frais de la procédure de recours, par 3'410 fr. (trois mille quatre cents dix francs), sont mis, à raison des trois quarts, par 2’557 fr. 50 (deux mille cinq cent cinquante-sept francs et cinquante centimes), à la charge de U.________, M.________, A.J.________ et K.________, solidairement entre eux, le solde, par 852 fr. 50 (huit cent cinquante-deux francs et cinquante centimes), étant laissé à la charge de l’Etat. V. Une indemnité de 1'512 fr. (mille cinq cent douze francs) est allouée à P.________ pour la procédure de recours à la charge de U.________, M.________, A.J.________ et K.________, solidairement entre eux. VI. Une indemnité de 1'512 fr. (mille cinq cent douze francs) est allouée à N.________ pour la procédure de recours à la charge de U.________, M.________, A.J.________ et K.________ solidairement entre eux. VII. L’arrêt est exécutoire. Le président : Le greffier : Du Le présent arrêt, dont la rédaction a été approuvée à huis clos, est notifié, par l'envoi d'une copie complète, à : - Me Jean-Michel Duc, avocat (pour U.________ et crts), - Me Jérôme Bénédict, avocat (pour P.________), - Me Adrien Schneider, avocat (pour N.________),</w:t>
      </w:r>
    </w:p>
    <w:p>
      <w:r>
        <w:t>- 35 -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