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PE12.005822 vom 6. Mai 2014</w:t>
      </w:r>
    </w:p>
    <w:p>
      <w:r>
        <w:t>VD Tribunal cantonal, 2014-05-06, FR</w:t>
      </w:r>
    </w:p>
    <w:p>
      <w:r>
        <w:rPr>
          <w:b/>
        </w:rPr>
        <w:t xml:space="preserve">Quelle: </w:t>
      </w:r>
      <w:r>
        <w:t>https://mcp.opencaselaw.ch/entscheid/vd_gerichte_PE12.005822</w:t>
      </w:r>
    </w:p>
    <w:p>
      <w:r>
        <w:t>FR: VD_GERICHTE PE12.005822 du 6 mai 2014</w:t>
      </w:r>
    </w:p>
    <w:p>
      <w:r>
        <w:t>IT: VD_GERICHTE PE12.005822 del 6 maggio 2014</w:t>
      </w:r>
    </w:p>
    <w:p>
      <w:pPr>
        <w:pStyle w:val="Heading2"/>
      </w:pPr>
      <w:r>
        <w:t>Erwägungen</w:t>
      </w:r>
    </w:p>
    <w:p>
      <w:r>
        <w:rPr>
          <w:b/>
        </w:rPr>
        <w:t>E. 5.1</w:t>
      </w:r>
    </w:p>
    <w:p>
      <w:r>
        <w:t>Dans son appel, X.________ ne conteste pas la peine en tant que telle. Ce point devant toutefois être examiné d'office, la Cour de céans considère que s'agissant de la peine principale, de 50 jours-amende à 30 fr. avec sursis, l'appréciation du Tribunal de police est conforme à la loi et peut être confirmée.</w:t>
      </w:r>
    </w:p>
    <w:p>
      <w:r>
        <w:rPr>
          <w:b/>
        </w:rPr>
        <w:t>E. 5.2</w:t>
      </w:r>
    </w:p>
    <w:p>
      <w:r>
        <w:t>En revanche, il en va différemment de l'amende de 500 fr. infligée au titre de sanction immédiate. Le juge peut prononcer, en plus du sursis, une peine pécuniaire sans sursis ou une amende selon l'art. 106 CP (art. 42 al. 4 CP). L'amende prononcée à titre de sanction immédiate contribue à accroître le potentiel coercitif relativement faible de la peine principale avec sursis, dans une optique de prévention générale et spéciale. Il s'agit d'une forme d'admonition à l'adresse du condamné, afin d'attirer son attention sur le sérieux de la situation tout en lui démontrant ce qui l'attend s'il ne s'amende pas (ATF 134 IV 60 c. 7.3.1 et les références citées). La combinaison prévue à l'art. 42 al. 4 CP constitue un "sursis qualitativement partiel" (cf. ATF 134 IV 1 c. 4.5.2). Enfin, si une peine combinée est justifiée, les deux sanctions considérées ensemble doivent</w:t>
      </w:r>
    </w:p>
    <w:p>
      <w:r>
        <w:t>- 18 - correspondre à la gravité de la faute au sens de l'art. 47 CP (ATF 134 IV 53 c. 5.2; TF 6B_61/2010 du 27 juillet 2010 c. 5). En l'espèce, on est en présence d'un épisode isolé, car si l'on sait qu'il y a eu d'autres disputes conjugales (cf. p. ex. P. 8/3), rien de concret n'est prouvé à l'encontre de l'un ou l'autre des intéressés. En l'absence d'antécédents pénaux, le prononcé d'une amende à titre de sanction immédiate, qui porterait matériellement le total de la peine à 65 jours-amende, ne se justifie pas et le jugement entrepris devra être modifié d'office sur ce point.</w:t>
      </w:r>
    </w:p>
    <w:p>
      <w:r>
        <w:rPr>
          <w:b/>
        </w:rPr>
        <w:t>E. 6</w:t>
      </w:r>
    </w:p>
    <w:p>
      <w:r>
        <w:t>Enfin, la conclusion de X.________ tendant à la réduction de la part des frais de première instance mise à sa charge n'a pas à être examinée, car elle reposait exclusivement sur les moyens qui précèdent, qui se sont avérés mal fondés.</w:t>
      </w:r>
    </w:p>
    <w:p>
      <w:r>
        <w:rPr>
          <w:b/>
        </w:rPr>
        <w:t>E. 7</w:t>
      </w:r>
    </w:p>
    <w:p>
      <w:r>
        <w:t>En définitive, l'appel de X.________ doit être rejeté, le chiffre I du dispositif du jugement entrepris devant toutefois être modifié en ce sens que l'intéressé n'est condamné qu'à 50 jours-amende de 30 fr. avec sursis pendant deux ans. Vu l’issue de la cause, il y a lieu de mettre à la charge de X.________ l'intégralité de la part des frais de la procédure de deuxième instance qui concerne son appel (cf. art. 428 al. 1 CPP), qui correspond à la moitié de l'émolument de jugement, soit 1'025 fr. (art. 21 al. 1 et 2 TFIP [Tarif des frais de procédure et indemnités en matière pénale du 28 septembre 2010; RSV 312.03.1]), et à l'intégralité de l'indemnité due à son défenseur d'office pour la procédure d'appel, qui sera arrêtée à 1'296 fr., débours et TVA compris. X.________ ne sera toutefois tenu de rembourser à l’Etat l’indemnité allouée à son défenseur d’office que lorsque sa situation financière le permettra. II. Appel de S.________</w:t>
      </w:r>
    </w:p>
    <w:p>
      <w:r>
        <w:t>- 19 -</w:t>
      </w:r>
    </w:p>
    <w:p>
      <w:r>
        <w:rPr>
          <w:b/>
        </w:rPr>
        <w:t>E. 8.1</w:t>
      </w:r>
    </w:p>
    <w:p>
      <w:r>
        <w:t>S.________, que le Tribunal de police a reconnue coupable de voies de fait qualifiées au sens de l'art. 126 al. 2 CP, soutient que les conditions d'application de cette disposition ne seraient pas réalisées, car elle n'aurait agi qu'une seule fois, soit dans le cadre des faits de l'épisode de février 2012 (ch. 2.1 supra), qui sont admis, son comportement dans le cadre de l'épisode du 27 mars 2012 (ch. 2.2 supra) étant en revanche constitutif de légitime défense. De toute manière, même si deux épisodes distincts pouvaient lui être reprochés, on ne devrait pas considérer qu'elle a agi à "réitérées reprises" au sens de la loi.</w:t>
      </w:r>
    </w:p>
    <w:p>
      <w:r>
        <w:rPr>
          <w:b/>
        </w:rPr>
        <w:t>E. 8.2</w:t>
      </w:r>
    </w:p>
    <w:p>
      <w:r>
        <w:t>Selon l'art. 126 CP, celui qui se sera livré sur une personne à des voies de fait qui n'auront causé ni lésion corporelle ni atteinte à la santé sera, sur plainte, puni d'une amende (al. 1). La poursuite aura lieu d'office notamment si l'auteur a agi à réitérées reprises contre son conjoint durant le mariage ou durant l'année qui a suivi le divorce (al. 2 let. b). L'auteur agit à réitérées reprises lorsque les voies de fait sont perpétrées plusieurs fois sur la même victime et qu'elles dénotent une certaine habitude; de nombreux coups, donnés de manière systématique durant quelques jours ou quelques heures, devraient cependant suffire pour que les conditions de cette disposition soient réalisées (FF 1985 II pp. 1021 ss, spéc. p. 1046; cf. ég. Donatsch, Strafrecht III, Zurich/Bâle/Genève 2013, p. 58). Le Tribunal fédéral a précisé que le but de l'art. 126 al. 2 CP était d'éviter que cela ne dégénère et que les coups ne deviennent habituels (ATF 129 IV 216 c. 3.2; cf. ég. Hurtado Pozo, Droit pénal, partie spéciale, Genève/Zurich/Bâle 2009, n. 552). Certains auteurs exigent que l'auteur agisse souvent, en précisant que deux fois ne suffisent en principe pas (cf. Stratenwerth/Jenny/Bommer, Schweizerisches Strafrecht, Besonderer Teil I, Berne 2010, n. 53 ad § 3; Corboz, Les infractions en droit suisse, vol. I, 3e édition, Berne 2010, n. 22 ad art. 126 CP); d'autres considèrent en revanche que deux fois peuvent suffire (Trechsel/Fingerhuth, in : Trechsel/Pieth [éd.], Schweizerisches Straf-</w:t>
      </w:r>
    </w:p>
    <w:p>
      <w:r>
        <w:t>- 20 - gesetzbuch, Praxiskommentar, 2e édition, Zurich/Saint-Gall 2013, n. 8 ad art. 126 CP).</w:t>
      </w:r>
    </w:p>
    <w:p>
      <w:r>
        <w:rPr>
          <w:b/>
        </w:rPr>
        <w:t>E. 8.3.1</w:t>
      </w:r>
    </w:p>
    <w:p>
      <w:r>
        <w:t>En l'espèce, comme X.________ n'a pas déposé plainte pénale, une condamnation de S.________ n'est envisageable qu'au titre de l'art. 126 al. 2 CP, soit si une hypothèse de poursuite d'office est réalisée.</w:t>
      </w:r>
    </w:p>
    <w:p>
      <w:r>
        <w:rPr>
          <w:b/>
        </w:rPr>
        <w:t>E. 8.3.2</w:t>
      </w:r>
    </w:p>
    <w:p>
      <w:r>
        <w:t>S'agissant de l'épisode du 27 mars 2012, on ne saurait considérer que S.________ a agi dans le strict cadre d'une légitime défense. En effet, quand bien même c'est elle qui a subi les blessures les plus graves, elle ne s'est pas bornée à repousser l'attaque par des moyens proportionnés aux circonstances (cf. art. 15 CP), mais a infligé de profondes griffures à son mari. Elle admet elle-même non seulement avoir tenté de bloquer les coups, mais également avoir "riposté", après que X.________ aurait donné les "premiers" coups (cf. PV aud. 1, lignes 61 à 65). Elle ne s'est donc pas contentée de se défendre, mais a activement répliqué. Le déroulement de l'épisode de février 2012 (ch. 2.1 supra), qui n'est pas contesté, démontre qu'il est arrivé à S.________ de prendre l'initiative de porter une dispute sur le plan physique. Cela étant, comme déjà observé plus haut (cf. c. 5.2 supra), rien de concret n'est établi contre S.________ au sujet d'autres disputes passées. X.________ lui-même, s'il affirme que c'était la troisième fois que son épouse s'en prenait à lui, ne décrit que les deux épisodes litigieux. Dès lors, en présence de seulement deux disputes avec violences avérées, quand bien même elles sont rapprochées dans le temps, il faut, au vu des critères définis par la doctrine et la jurisprudence, considérer qu'on ne se trouve pas dans l'hypothèse d'actes réitérés au sens de l'art. 126 al. 2 CP. En particulier, on ne peut tenir pour établi que le comportement de l'intéressée dénotait une certaine habitude. S.________ doit par conséquent être purement et simplement libérée.</w:t>
      </w:r>
    </w:p>
    <w:p>
      <w:r>
        <w:t>- 21 -</w:t>
      </w:r>
    </w:p>
    <w:p>
      <w:r>
        <w:rPr>
          <w:b/>
        </w:rPr>
        <w:t>E. 9</w:t>
      </w:r>
    </w:p>
    <w:p>
      <w:r>
        <w:t>Compte tenu de l'acquittement de S.________, il n'y a pas lieu d'examiner les moyens de celle-ci en relation avec les art. 177 al. 3 CP et 64 aCP dans sa teneur en vigueur au 31 décembre 2006.</w:t>
      </w:r>
    </w:p>
    <w:p>
      <w:r>
        <w:rPr>
          <w:b/>
        </w:rPr>
        <w:t>E. 10</w:t>
      </w:r>
    </w:p>
    <w:p>
      <w:r>
        <w:t>S.________ conclut également à ce que les frais de première et de deuxième instances soient laissés à la charge de l'Etat. En frappant son mari à deux reprises, elle a toutefois eu un comportement illicite d'un point de vue civil, qui est à l'origine de la procédure pénale, ce qui justifie la mise à sa charge d'une partie des frais de première instance, en dépit de l'acquittement prononcé (cf. art. 426 al. 2 CPP). La question des frais de deuxième instance sera examinée plus bas (cf. c. 11 infra).</w:t>
      </w:r>
    </w:p>
    <w:p>
      <w:r>
        <w:rPr>
          <w:b/>
        </w:rPr>
        <w:t>E. 11</w:t>
      </w:r>
    </w:p>
    <w:p>
      <w:r>
        <w:t>Au vu de ce qui précède, l'appel de S.________ doit être admis, le chiffre II du dispositif du jugement entrepris devant être modifié en ce sens qu'elle est libérée des fins de la poursuite pénale. Vu l’issue de la cause, la part des frais de la procédure de deuxième instance qui concerne l'appel interjeté par S.________, qui correspond à la moitié de l'émolument de jugement, soit 1'025 fr., doivent être laissés à la charge de l'Etat (art. 423 al. 1 CPP). En ce qui concerne les dépenses occasionnées à S.________ par l'exercice raisonnable de ses droits de procédure, il n'y a pas matière à indemnisation. S'il est vrai que l'autorité pénale examine d'office les prétentions du prévenu à ce titre, elle peut enjoindre à celui-ci de les chiffrer et de les justifier (art. 429 al. 2 CPP). Or, en l'espèce, alors qu'elle avait été invitée à déposer une demande écrite chiffrée et justifiée au plus tard à l'ouverture des débats de deuxième instance (cf. citation à comparaître du 24 juillet 2014), S.________ s'est bornée à déposer une liste des opérations, qui ne comporte qu'un total d'heures général, mais aucune indication chiffrée sur le montant réclamé, et n'a pas pris de conclusion chiffrée, de sorte qu'aucun montant ne peut lui être alloué à ce titre. Son comportement fautif justifie aussi le refus de toute indemnité (art. 430 CPP).</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