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PE12.004409 vom 2. Juli 2015</w:t>
      </w:r>
    </w:p>
    <w:p>
      <w:r>
        <w:t>VD Tribunal cantonal, 2015-07-02, FR</w:t>
      </w:r>
    </w:p>
    <w:p>
      <w:r>
        <w:rPr>
          <w:b/>
        </w:rPr>
        <w:t xml:space="preserve">Quelle: </w:t>
      </w:r>
      <w:r>
        <w:t>https://mcp.opencaselaw.ch/entscheid/vd_gerichte_PE12.004409</w:t>
      </w:r>
    </w:p>
    <w:p>
      <w:r>
        <w:t>FR: VD_GERICHTE PE12.004409 du 2 juillet 2015</w:t>
      </w:r>
    </w:p>
    <w:p>
      <w:r>
        <w:t>IT: VD_GERICHTE PE12.004409 del 2 luglio 2015</w:t>
      </w:r>
    </w:p>
    <w:p>
      <w:pPr>
        <w:pStyle w:val="Heading2"/>
      </w:pPr>
      <w:r>
        <w:t>Erwägungen</w:t>
      </w:r>
    </w:p>
    <w:p>
      <w:r>
        <w:rPr>
          <w:b/>
        </w:rPr>
        <w:t>E. 5</w:t>
      </w:r>
    </w:p>
    <w:p>
      <w:r>
        <w:t>L'appelant conteste ensuite la réalisation des conditions de l’art. 221 CP (Code pénal suisse du 21 décembre 1937 ; RS 311.0), considérant en substance que, d’une part, le cabanon de jardin lui appartiendrait, à tout le moins en tant qu’il représenterait un acquêt du couple, et, d’autre part, qu’il n’y aurait pas eu de mise en danger collectif, puisqu’il n’y avait apparemment personne sur place.</w:t>
      </w:r>
    </w:p>
    <w:p>
      <w:r>
        <w:rPr>
          <w:b/>
        </w:rPr>
        <w:t>E. 5.1</w:t>
      </w:r>
    </w:p>
    <w:p>
      <w:r>
        <w:t>A teneur de l’art. 221 al. 1 CP, celui qui, intentionnellement, aura causé un incendie et aura ainsi porté préjudice à autrui ou fait naître un danger collectif sera puni d’une peine privative de liberté de un an au moins.</w:t>
      </w:r>
    </w:p>
    <w:p>
      <w:r>
        <w:t>- 19 - La notion d’incendie, contenue dans cette disposition, vise un feu d’une telle ampleur qu’il ne peut plus être éteint par celui qui l’a allumé. Pour que l'infraction prévue par l'art. 221 al. 1 CP soit réalisée, il ne suffit toutefois pas que l'auteur ait intentionnellement causé un incendie. Cette disposition prévoit en effet un élément supplémentaire sous une forme alternative : soit l’auteur a causé ainsi un préjudice à autrui, soit il a fait naître un danger collectif.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La notion de danger collectif vise de manière générale une mise en péril, même relativement indéterminée au moment de l’acte, de n’importe quel bien juridiquement protégé, et non pas spécifiquement de la personne humaine. Elle est remplie lorsque existe le danger que le feu se propage (TF 6B_834/2008 du 20 janvier 2009 consid. 2.1 et les références citées, not. ATF 117 IV 285 consid. 2a).</w:t>
      </w:r>
    </w:p>
    <w:p>
      <w:r>
        <w:rPr>
          <w:b/>
        </w:rPr>
        <w:t>E. 5.2</w:t>
      </w:r>
    </w:p>
    <w:p>
      <w:r>
        <w:t>En l'espèce, les deux conditions – pourtant alternatives – de l’art. 221 CP sont remplies l'une et l'autre. En effet, il ressort du dossier que le locataire de la parcelle sur laquelle se trouvait le cabanon est B.________, soit l’épouse de l’appelant, uniquement, et non le couple. Le cabanon qui s’y trouvait faisait partie du matériel autorisé au locataire de la parcelle des jardins communaux (P. 67/2). Le fait que l’appelant ait participé à sa construction est donc sans pertinence sur la propriété de l’objet. En boutant le feu à ce cabanon, qui a été détruit (P. 9), X.________ a donc porté préjudice à son ex-épouse. Par surabondance, l'incendie et la destruction complète du cabanon en bois se trouvant sur un terrain comportant d'autres cabanons du même type a créé un danger collectif en raison du risque de propagation de l'incendie. On relèvera à cet égard que les cabanons voisins ont été noircis (P. 9). Il apparaît que l’intervention des pompiers a été nécessaire pour éteindre le feu et qu’il existait dès lors un danger réel que le feu se propage. On ne saurait retenir, dans ces circonstances, que l’auteur voulait seulement détruire, par un feu limité et maîtrisé, un objet déterminé.</w:t>
      </w:r>
    </w:p>
    <w:p>
      <w:r>
        <w:t>- 20 - Toutes les conditions de l’incendie intentionnel étant réalisées, la condamnation de X.________ pour ce chef d’accusation doit donc être confirmée. Au regard de cette condamnation, la confiscation et la destruction de la bouteille de liquide de brûleur entamée ne prête pas le flanc à la critique.</w:t>
      </w:r>
    </w:p>
    <w:p>
      <w:r>
        <w:rPr>
          <w:b/>
        </w:rPr>
        <w:t>E. 6</w:t>
      </w:r>
    </w:p>
    <w:p>
      <w:r>
        <w:t>L’appelant reconnaît les faits décrits sous lettre C.3.2, à savoir qu’il était porteur d’une petite quantité de haschisch et il a exposé que, ne fumant pas lui-même, il envisageait par exemple de donner la drogue à sa copine qui fumait. Toutefois, il fait plaider l’acquittement au motif qu’il existerait une grande tolérance pour ce genre de drogue douce et qu’il n’y aurait pas eu de poursuite pénale s’il n’y avait pas eu les autres cas. Selon l’art. 19 LStup (loi fédérale sur les stupéfiants du 3 octobre 1951 ; RS 812.121) est puni d'une peine privative de liberté de trois ans au plus ou d'une peine pécuniaire notamment celui qui, sans droit, aliène ou prescrit des stupéfiants, en procure de toute autre manière à un tiers ou en met dans le commerce (let. c) et celui qui, sans droit, possède, détient ou acquiert des stupéfiants ou s'en procure de toute autre manière (let. d). En l’espèce, la quantité de haschisch retrouvée dans la chambre d’hôtel de X.________ était certes peu importante. Toutefois, le simple fait de détenir des stupéfiants en vue de les remettre, même gratuitement, à des tiers, tombe sous le coup de l’art. 19 LStup. Le fait qu'il s'agisse en l'espèce d'une très petite quantité de haschisch sera pris en considération au moment de fixer la peine mais ne peut en aucun cas influer sur la qualification. X.________ doit donc être reconnu coupable d’infraction à la loi fédérale sur les stupéfiants.</w:t>
      </w:r>
    </w:p>
    <w:p>
      <w:r>
        <w:rPr>
          <w:b/>
        </w:rPr>
        <w:t>E. 7.1</w:t>
      </w:r>
    </w:p>
    <w:p>
      <w:r>
        <w:t>S’agissant de l’accident relaté sous lettre C.3.3 ci-dessus, l’appelant soutient tout d’abord qu’il n’aurait pas tenté de se dérober,</w:t>
      </w:r>
    </w:p>
    <w:p>
      <w:r>
        <w:t>- 21 - « puisqu’il avait déjà été identifié par son numéro de plaques », et qu’il aurait uniquement continué son chemin par peur de perdre son emploi. Il soutient également que sa perte de maîtrise ne constituerait pas une violation grave mais simple des règles de la circulation routière.</w:t>
      </w:r>
    </w:p>
    <w:p>
      <w:r>
        <w:rPr>
          <w:b/>
        </w:rPr>
        <w:t>E. 7.1.1</w:t>
      </w:r>
    </w:p>
    <w:p>
      <w:r>
        <w:t>Comme l’a à juste titre relevé le tribunal de première instance, les dispositions pénales de la loi fédérale sur la circulation routière (LCR du 19 décembre 1958 ; RS 741.01) ont été modifiées avec effet au 1er janvier 2013 (art. 90, 91a et 92) et au 1er janvier 2014 (art. 91). Les dispositions actuellement en vigueur n’étant pas plus favorables que celles qui prévalaient au moment des faits, ce sont les anciennes dispositions de la LCR qui doivent être appliquées (art. 2 al. 2 CP).</w:t>
      </w:r>
    </w:p>
    <w:p>
      <w:r>
        <w:rPr>
          <w:b/>
        </w:rPr>
        <w:t>E. 7.1.2</w:t>
      </w:r>
    </w:p>
    <w:p>
      <w:r>
        <w:t>Selon l’art. 31 aLCR, le conducteur devra rester constamment maître de son véhicule de façon à pouvoir se conformer aux devoirs de la prudence. Aux termes de l’art. 90 al. 2 aLCR, celui qui, par une violation grave d'une règle de la circulation, aura créé un sérieux danger pour la sécurité d’autrui ou en aura pris le risque, sera puni d’une peine privative de liberté de trois ans au plus ou d’une peine pécuniaire. L'infraction réprimée par l'art. 90 al. 2 aLCR est objectivement réalisée lorsque l'auteur viole grossièrement une règle fondamentale de la circulation et met ainsi sérieusement en danger la sécurité d'autrui ;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(ATF 131 IV 133 consid. 3.2, JdT 2005 I 466). Selon l’art. 51 al. 3 aLCR, si l’accident n’a causé que des dommages matériels, leur auteur en avertira tout de suite le lésé en</w:t>
      </w:r>
    </w:p>
    <w:p>
      <w:r>
        <w:t>- 22 - indiquant son nom et son adresse. En cas d’impossibilité, il en informera sans délai la police. L’art. 92 al. 1 aLCR précise que celui qui, lors d’un accident, aura violé les devoirs que lui impose la présente loi sera puni de l’amende.</w:t>
      </w:r>
    </w:p>
    <w:p>
      <w:r>
        <w:rPr>
          <w:b/>
        </w:rPr>
        <w:t>E. 7.1.3</w:t>
      </w:r>
    </w:p>
    <w:p>
      <w:r>
        <w:t>En l’espèce, il est avéré que le prévenu a perdu la maîtrise de son véhicule, causant un accident impliquant des dommages matériels. Il ne s'est pas arrêté et il a poursuivi sa route pour se rendre près de son lieu de travail où il a bu « deux petites gorgées de vodka ». La perte de maîtrise qui a conduit l’appelant à franchir un îlot herbeux séparant les deux voies de circulation avant de percuter un véhicule parqué – heureusement vide au moment de l’impact – a sans conteste mis en danger la sécurité d’autrui, à tout le moins de manière abstraite. Un tel comportement constitue donc une violation grave et non une violation simple des règles de la circulation routière. Pour le surplus, contrairement à ce que fait plaider l’appelant, le fait qu’il ait été identifié par son numéro de plaques – ce qu’il ignorait par ailleurs probablement au moment où il a pris la fuite – ne l’autorisait pas à quitter les lieux immédiatement après l’accident. En effet, l’appelant ne se trouvait aucunement dans l’impossibilité de se conformer à ses devoirs en cas d’accident, étant au demeurant souligné que les cantonniers auxquels appartenait le véhicule utilitaire se trouvaient non loin du lieu de l’accident. Au surplus, le comportement de l’appelant consistant à quitter précipitamment les lieux après l’accident, franchissant pour se faire la ligne de sécurité séparant les deux axes du trafic, puis à boire deux gorgées de vodka dès l’arrêt de son véhicule, ne correspond pas au comportement de quelqu’un qui entend faire face à ses responsabilités. Partant, X.________ doit être reconnu coupable de violation des devoirs en cas d’accident.</w:t>
      </w:r>
    </w:p>
    <w:p>
      <w:r>
        <w:rPr>
          <w:b/>
        </w:rPr>
        <w:t>E. 7.2</w:t>
      </w:r>
    </w:p>
    <w:p>
      <w:r>
        <w:t>L’appelant soutient encore que son taux d’alcoolémie était probablement plus faible que celui retenu compte tenu des deux rasades de vodka qu’il a indiqué avoir bues une fois arrivé sur sa place de travail.</w:t>
      </w:r>
    </w:p>
    <w:p>
      <w:r>
        <w:t>- 23 -</w:t>
      </w:r>
    </w:p>
    <w:p>
      <w:r>
        <w:rPr>
          <w:b/>
        </w:rPr>
        <w:t>E. 7.2.1</w:t>
      </w:r>
    </w:p>
    <w:p>
      <w:r>
        <w:t>Aux termes de l’art. 91 al. 1 aLCR, quiconque a conduit un véhicule automobile en état d’ébriété, est puni de l’amende. La peine sera une peine privative de liberté de trois ans au plus ou une peine pécuniaire lorsque le taux d’alcoolémie est qualifié (art. 55 al. 6 aLCR). Selon l’art. 91a aLCR,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que quiconque s'oppose ou se dérobe intentionnellement à un examen médical complémentaire ou fait en sorte que des mesures de ce genre ne puissent atteindre leur but sera puni d'une peine privative de liberté de trois ans au plus ou d'une peine pécuniaire. Cette disposition prévoit trois hypothèses, à savoir l'opposition, la dérobade et l'entrave à la constatation de l'alcoolémie. La jurisprudence a précisé que l’art. 91a al. 2 aLCR était applicable quand le conducteur devait s'attendre avec une haute vraisemblance à ce qu'une mesure visant à établir son alcoolémie soit ordonnée (Giger, Strassenverkehrsgesetz Kommentar, Zurich 2014, nn. 4 et 8 ad art. 91a aLCR).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 ATF 126 IV 53 c. 2a). Ils peuvent aussi se rapporter au comportement du conducteur (haleine sentant l'alcool, yeux injectés, élocution pâteuse ou démarche incertaine ; propos incohérents ou une extrême agitation ; ATF 126 IV 53 c. 2a). Constituent enfin des indices d'ébriété les activités de l'auteur avant l'accident (participation à une fête, consommation d'alcool), voire même les antécédents routiers d'un conducteur (TF 6S.435/2001 du 8 août 2001 c. 2e).</w:t>
      </w:r>
    </w:p>
    <w:p>
      <w:r>
        <w:t>- 24 - Le fait de se dérober à une mesure visant à constater l'incapacité de conduire est une infraction de résultat qui suppose, pour être consommée, qu'il soit impossible d'établir le taux d'alcool au moment déterminant (ATF 115 IV 51 c. 5). Indépendamment du devoir d’aviser la police en cas d’accident, le fait de consommer de l’alcool après un accident pouvant motiver un ordre de prise de sang, peut remplir les conditions objectives de l’entrave au sens de l’art. 91a LCR. Sur le plan objectif, il est nécessaire que la prise de sang ait été hautement vraisemblable et que la consommation d’alcool après l’accident alléguée ait rendu impossible la détermination de l’alcoolémie au moment déterminant. Subjectivement, il faut que le conducteur ait eu la conscience de la haute vraisemblance de la prise de sang et qu’il ait voulu entraver cette mesure (ATF 131 IV 36 consid. 2.2.4 p. 40 ; arrêts 6S.42/2004 du 12 mai 2004 consid. 2.1.3 et 6S.412/2004 du 16 décembre 2005 consid. 1.2 rendus sous l’empire de l’art. 91 al. 3 aLCR).</w:t>
      </w:r>
    </w:p>
    <w:p>
      <w:r>
        <w:rPr>
          <w:b/>
        </w:rPr>
        <w:t>E. 7.2.2</w:t>
      </w:r>
    </w:p>
    <w:p>
      <w:r>
        <w:t>En l’espèce, la prise de sang effectuée à 08h50, soit environ une heure après l'accident, a révélé une alcoolémie de 1,28 g % (taux le 0 plus favorable). Compte tenu d’un taux d’élimination moyen de l’alcool dans le sang de l’ordre de 0.1 à 0.2 g ‰ par heure en fonction des individus, la Cour de céans retiendra qu’au moment de l’accident, soit vers 07h40, l’appelant avait un taux d’alcoolémie supérieur à 0.8 g ‰ et qu’il était donc en état d’ébriété qualifiée, indépendamment des deux petites gorgées de vodka ingurgitées après l’accident. Il doit donc être reconnu coupable d’ivresse au volant qualifiée au sens de l’art. 91 al. 1 2ème phrase aLCR. Au surplus, en ingurgitant deux gorgées de vodka après l’accident, l’appelant a manifestement tenté de perturber les résultats du contrôle de son alcoolémie, auquel il devait pourtant s’attendre compte tenu de la perte de maitrise dont il venait d’être l’auteur, des dommages matériels causés et de ses antécédents (trois condamnations prononcées</w:t>
      </w:r>
    </w:p>
    <w:p>
      <w:r>
        <w:t>- 25 - entre 2005 et 2011 notamment pour conduite en état d’ébriété qualifiée et cinq mesures administratives en matière de circulation routière prononcées entre le 2005 et 2014 également pour des problèmes d’alcoolémie au volant). Néanmoins, comme l’a à juste titre retenu le tribunal de première instance, l’alcoolémie de l’appelant ayant pu être mesurée indépendamment des agissements du prévenu, seule la tentative de dérobade aux mesures visant à déterminer l’incapacité de conduire sera retenue (art. 22 al. 1 CP et 91a al. 1 aLCR). Elle sera toutefois retenue en concours avec l’infraction d’ivresse au volant qualifiée (cf. Bussy/Rusconi et alii, Code suisse de la circulation routière commenté, 4ème éd., Bâle 2015, n. 5.1 et 5.2 ad art. 91a LCR).</w:t>
      </w:r>
    </w:p>
    <w:p>
      <w:r>
        <w:rPr>
          <w:b/>
        </w:rPr>
        <w:t>E. 8</w:t>
      </w:r>
    </w:p>
    <w:p>
      <w:r>
        <w:t>X.________ conclut au prononcé d’une peine modérée.</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Conformément à l'art. 19 al. 2 CP, le juge atténue la peine si, au moment d'agir, l'auteur ne possédait que partiellement la faculté d'apprécier le caractère illicite de son acte ou de se déterminer d'après cette appréciation. Les règles générales régissant la fixation de la peine ont été rappelées dans les arrêts publiés aux ATF 136 IV 55 et ATF 134 IV 17 consid. 2.1, ainsi qu’à l’ATF 136 IV 55 consid. 5.7 s’agissant en particulier de la manière dont il doit être tenu compte de la diminution de responsabilité, auxquels il peut être renvoyé.</w:t>
      </w:r>
    </w:p>
    <w:p>
      <w:r>
        <w:t>- 26 -</w:t>
      </w:r>
    </w:p>
    <w:p>
      <w:r>
        <w:rPr>
          <w:b/>
        </w:rPr>
        <w:t>E. 8.2</w:t>
      </w:r>
    </w:p>
    <w:p>
      <w:r>
        <w:t>En l’espèce, c’est à juste titre que le tribunal de première instance a retenu que la culpabilité de X.________ était relativement lourde. Malgré la faible quantité de haschisch retenue, il y a lieu de relever que cette infraction entre en concours avec les infractions d’incendie intentionnel, de violation grave des règles de la circulation, d’ivresse au volant qualifiée, de tentative de dérobade aux mesures visant à déterminer l’incapacité de conduire et de violation des devoirs en cas d’accident. Or, l’attitude de l’appelant consistant à mettre le feu au cabanon de son épouse en réaction à sa frustration de ne pas parvenir à l’atteindre le jour des faits est particulièrement vile et dangereuse. De surcroît, l’intéressé est un multirécidiviste en matière de conduite en état d’ébriété qui ne semble faire aucun cas de ses précédentes condamnations. Enfin, au vu de son attitude le jour de l’accident et de l’acquittement encore plaidé au stade de l’appel, il n’a manifestement pas encore saisi la gravité de ses agissements. A décharge, il y a lieu de tenir compte d’une responsabilité pénale moyennement diminuée. Compte tenu de ces éléments, la peine de dix-huit mois de privation de liberté prononcée par le tribunal de première instance est adéquate et doit être confirmée. Les quinze jours de détention avant jugement subis seront déduits de la peine.</w:t>
      </w:r>
    </w:p>
    <w:p>
      <w:r>
        <w:rPr>
          <w:b/>
        </w:rPr>
        <w:t>E. 8.3</w:t>
      </w:r>
    </w:p>
    <w:p>
      <w:r>
        <w:t>L’appelant ne conteste pas formellement le sursis partiel qui lui a été octroyé, ni la durée du délai d’épreuve. Examinés d’office, ces points ne prêtent pas le flanc à la critique. En effet, à l’instar des premiers juges, la Cour de céans considère que l’appelant pourra être mis au bénéfice d’un sursis partiel portant sur douze mois de privation de liberté, la durée du délai d’épreuve devant toutefois être fixée à quatre ans pour lui permettre de démontrer sur le long terme qu’il est capable de bien se comporter.</w:t>
      </w:r>
    </w:p>
    <w:p>
      <w:r>
        <w:t>- 27 -</w:t>
      </w:r>
    </w:p>
    <w:p>
      <w:r>
        <w:rPr>
          <w:b/>
        </w:rPr>
        <w:t>E. 9</w:t>
      </w:r>
    </w:p>
    <w:p>
      <w:r>
        <w:t>En conclusion, l’appel de X.________ doit être rejeté. Une indemnité pour la procédure d'appel d'un montant de 2'059 fr. 15, TVA et débours inclus, est allouée au défenseur d'office de l’appelant. Il est tenu compte de dix heures de travail au tarif horaire usuel de 180 fr. et de débours par 106 fr. 60, plus la TVA, par 152 fr. 55. Les frais d'appel, par 4’659 fr. 15, constitués de l'émolument de jugement (art. 422 al. 1 CPP), par 2’600 fr. (art. 21 al. 1 et 2 TFIP [Tarif des frais de procédure et indemnités en matière pénale du 28 septembre 2010 ; RSV 312.03.1]), et de l'indemnité de défenseur d'office allouée (art. 422 al. 2 let. a CPP), par 2'059 fr. 15, seront mis à la charge de l’appelant. Celui-ci ne sera tenu de rembourser à l’Etat le montant de l’indemnité en faveur de son défenseur d’office que lorsque sa situation financière le permettra (art. 135 al. 4 let. a CPP). 7. Le dispositif communiqué après l’audience d’appel est entaché d’une erreur manifeste en ce sens qu’il omet d’intégrer le prononcé rectificatif rendu le 10 juillet 2015 par le Tribunal correctionnel de l'arrondissement de La Broye et du Nord vaudois concernant les frais (modification du ch. VII du dispositif du jugement du 2 juillet 2015). En application de l’art. 83 CPP, le ch. II du dispositif du présent arrêt doit être rectifié d’office sur ce point. La Cour d’appel pénale, appliquant les articles 19, 40, 43, 44, 47, 49 al. 1, 50, 51, 69, 221 al. 1 CP ; 19 al. 1 let. c et d LStup ; 90 ch. 2, 91 al. 1 2ème phrase, 22 al. 1 CP ad 91a al. 1 et 92 al. 1 aLCR et 398 ss CPP, prononce :</w:t>
      </w:r>
    </w:p>
    <w:p>
      <w:r>
        <w:t>- 28 - I. L'appel est rejeté. II. Le jugement rendu le 2 juillet 2015 par le Tribunal correctionnel de l'arrondissement de la Broye et du Nord vaudois, rectifié par prononcé du 10 juillet 2015, est confirmé selon le dispositif suivant : "I. libère X.________ du chef de prévention de violation simple des règles de la circulation ; II. constate que X.________ s’est rendu coupable d’incendie intentionnel, d’infraction à la loi fédérale sur les stupéfiants, de violation grave des règles de la circulation, d’ivresse au volant qualifiée, de tentative de dérobade aux mesures visant à déterminer l’incapacité de conduire et de violation des devoirs en cas d’accident ; III. condamne X.________ à une peine privative de liberté de 18 (dix-huit) mois, sous déduction de 15 (quinze) jours de détention avant jugement ; IV. suspend l’exécution d’une partie de la peine privative de liberté, portant sur 12 (douze) mois, et fixe à X.________ un délai d’épreuve de 4 (quatre) ans ; V. ordonne la confiscation et la destruction du haschich et de la bouteille de liquide de brûleur entamée séquestrés sous fiche n° 159 ; VI. ordonne le maintien au dossier à titre de pièce à conviction des CD et DVDs séquestrés sous fiche n° 151 et 153 ;</w:t>
      </w:r>
    </w:p>
    <w:p>
      <w:r>
        <w:t>- 29 - VII. met une partie des frais de la cause par 23'112 fr. 15 à la charge de X.________, y compris l’indemnité allouée à son défenseur d’office Me Renaud Lattion par 6'753 fr. 25, le solde étant laissé à la charge de l’Etat ; VIII. dit que le remboursement à l’Etat de l’indemnité arrêtée sous chiffre VII ci-dessus ne pourra être exigée de X.________ que lorsque sa situation financière le permettra. III. Une indemnité de défenseur d'office pour la procédure d'appel d'un montant de 2'059 fr. 15, TVA et débours inclus, est allouée à Me Renaud Lattion. IV.Les frais d'appel, par 4’659 fr. 15, y compris l'indemnité allouée au défenseur d'office, sont mis à la charge de X.________. V. X.________ ne sera tenu de rembourser à l’Etat le montant de l’indemnité en faveur de son conseil d’office prévue au ch. III ci-dessus que lorsque sa situation financière le permettra. Le président : La greffière : Du 3 novembre 2015 Le dispositif du jugement qui précède est communiqué à l’appelant et aux autres intéressés. La greffière :</w:t>
      </w:r>
    </w:p>
    <w:p>
      <w:r>
        <w:t>- 30 - Du Le jugement qui précède, dont la rédaction a été approuvée à huis clos, est notifié, par l'envoi d'une copie complète, à : - Me Renaud Lattion, avocat (pour X.________), - Ministère public central, et communiqué à : - M. le Président du Tribunal correctionnel de l'arrondissement de la Broye et du Nord vaudois, - M. le Procureur du Ministère public central, division affaires spéciales, contrôle et mineurs,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