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PE12.003977 vom 19. November 2012</w:t>
      </w:r>
    </w:p>
    <w:p>
      <w:r>
        <w:t>VD Tribunal cantonal, 2012-11-19, FR</w:t>
      </w:r>
    </w:p>
    <w:p>
      <w:r>
        <w:rPr>
          <w:b/>
        </w:rPr>
        <w:t xml:space="preserve">Quelle: </w:t>
      </w:r>
      <w:r>
        <w:t>https://mcp.opencaselaw.ch/entscheid/vd_gerichte_PE12.003977</w:t>
      </w:r>
    </w:p>
    <w:p>
      <w:r>
        <w:t>FR: VD_GERICHTE PE12.003977 du 19 novembre 2012</w:t>
      </w:r>
    </w:p>
    <w:p>
      <w:r>
        <w:t>IT: VD_GERICHTE PE12.003977 del 19 novembre 2012</w:t>
      </w:r>
    </w:p>
    <w:p>
      <w:pPr>
        <w:pStyle w:val="Heading2"/>
      </w:pPr>
      <w:r>
        <w:t>Erwägungen</w:t>
      </w:r>
    </w:p>
    <w:p>
      <w:r>
        <w:rPr>
          <w:b/>
        </w:rPr>
        <w:t>E. 4</w:t>
      </w:r>
    </w:p>
    <w:p>
      <w:r>
        <w:t>En définitive, le recours doit être rejeté et l'ordonnance attaquée confirmée. Les frais de la procédure de recours, constitués en l’espèce du seul émolument d'arrêt, par 1'210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d'arrêt, par 1'210 fr. (mille deux cent dix francs), sont mis à la charge de J.________. IV. L'arrêt est exécutoire. Le président : La greffière :</w:t>
      </w:r>
    </w:p>
    <w:p>
      <w:r>
        <w:t>- 13 - Du L'arrêt qui précède, dont la rédaction a été approuvée à huis clos, est notifié, par l'envoi d'une copie complète, à : - M. Christian Dénériaz, avocat (pour J.________), - M. Eric Muster, avocat (pour A.X.________), - M. Olivier Thévoz, avocat-stagiaire (pour D.________), - M. F.________, - M. le Conservateur du Registre foncier du district de Nyon,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