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PE12.003755 vom 2. Juni 2014</w:t>
      </w:r>
    </w:p>
    <w:p>
      <w:r>
        <w:t>VD Tribunal cantonal, 2014-06-02, FR</w:t>
      </w:r>
    </w:p>
    <w:p>
      <w:r>
        <w:rPr>
          <w:b/>
        </w:rPr>
        <w:t xml:space="preserve">Quelle: </w:t>
      </w:r>
      <w:r>
        <w:t>https://mcp.opencaselaw.ch/entscheid/vd_gerichte_PE12.003755</w:t>
      </w:r>
    </w:p>
    <w:p>
      <w:r>
        <w:t>FR: VD_GERICHTE PE12.003755 du 2 juin 2014</w:t>
      </w:r>
    </w:p>
    <w:p>
      <w:r>
        <w:t>IT: VD_GERICHTE PE12.003755 del 2 giugno 2014</w:t>
      </w:r>
    </w:p>
    <w:p>
      <w:pPr>
        <w:pStyle w:val="Heading2"/>
      </w:pPr>
      <w:r>
        <w:t>Erwägungen</w:t>
      </w:r>
    </w:p>
    <w:p>
      <w:r>
        <w:rPr>
          <w:b/>
        </w:rPr>
        <w:t>E. 7</w:t>
      </w:r>
    </w:p>
    <w:p>
      <w:r>
        <w:t>Sur le vu de ce qui précède, l'appel de K.________ doit être rejeté et le jugement attaqué intégralement confirmé.</w:t>
      </w:r>
    </w:p>
    <w:p>
      <w:r>
        <w:rPr>
          <w:b/>
        </w:rPr>
        <w:t>E. 8</w:t>
      </w:r>
    </w:p>
    <w:p>
      <w:r>
        <w:t>Vu l'issue de la cause, les frais d'appel, constitués de l’émolument d’arrêt, par 1’280 fr., et de l’indemnité allouée au défenseur d’office, par 2’287 fr. 45, TVA et débours compris, doivent être mis à la charge de l’appelant. Ce dernier ne sera tenu de rembourser à l’Etat le montant de l'indemnité en faveur de son défenseur d'office que lorsque sa situation financière le permettra (art. 135 al. 4 CPP).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