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PE12.003100 vom 11. November 2013</w:t>
      </w:r>
    </w:p>
    <w:p>
      <w:r>
        <w:t>VD Tribunal cantonal, 2013-11-11, FR</w:t>
      </w:r>
    </w:p>
    <w:p>
      <w:r>
        <w:rPr>
          <w:b/>
        </w:rPr>
        <w:t xml:space="preserve">Quelle: </w:t>
      </w:r>
      <w:r>
        <w:t>https://mcp.opencaselaw.ch/entscheid/vd_gerichte_PE12.003100</w:t>
      </w:r>
    </w:p>
    <w:p>
      <w:r>
        <w:t>FR: VD_GERICHTE PE12.003100 du 11 novembre 2013</w:t>
      </w:r>
    </w:p>
    <w:p>
      <w:r>
        <w:t>IT: VD_GERICHTE PE12.003100 del 11 novembre 2013</w:t>
      </w:r>
    </w:p>
    <w:p>
      <w:pPr>
        <w:pStyle w:val="Heading2"/>
      </w:pPr>
      <w:r>
        <w:t>Erwägungen</w:t>
      </w:r>
    </w:p>
    <w:p>
      <w:r>
        <w:rPr>
          <w:b/>
        </w:rPr>
        <w:t>E. 1</w:t>
      </w:r>
    </w:p>
    <w:p>
      <w:r>
        <w:t>Selon l'art. 67 CPP (Code de procédure pénale suisse du 5 octobre 2007, RS 312.0), la Confédération et les cantons déterminent les langues dans lesquelles leurs autorités pénales conduisent les procédures (al. 1); les autorités pénales cantonales accomplissent tous les actes de 351</w:t>
      </w:r>
    </w:p>
    <w:p>
      <w:r>
        <w:t>- 2 - procédure dans ces langues, la direction de la procédure pouvant autoriser des dérogations (al. 2). L'art. 16 LVCPP (loi vaudoise du 19 mai 2009 d'introduction du Code de procédure pénale suisse; RSV 312.01) prévoit que la langue de la procédure est le français. Cette disposition reprend le principe posé à l'art.</w:t>
      </w:r>
    </w:p>
    <w:p>
      <w:r>
        <w:rPr>
          <w:b/>
        </w:rPr>
        <w:t>E. 3</w:t>
      </w:r>
    </w:p>
    <w:p>
      <w:r>
        <w:t>L'intéressé n'ayant pas procédé conformément à la réquisition de la direction de la procédure dans le délai imparti, il n’y a pas lieu d’entrer en matière sur le recours, lesquel est irrecevable (cf. art. 110 al. 4 CPP; Urwyler, in : Niggli/Heer/Wiprächtiger [éd.], Basler Kommentar, Schweizerische Strafprozessordnung, Jugendstrafprozessordnung, Bâle 2011, n. 12 ad art. 67 CPP; Hafner/Fischer, op. cit., nn. 28 s. ad art. 110 CPP; TF 1B_17/2012 du 14 février 2012, in : SJ 2012 I 341; CREP 24 avril 2013/288; CREP 17 août 2011/495).</w:t>
      </w:r>
    </w:p>
    <w:p>
      <w:r>
        <w:rPr>
          <w:b/>
        </w:rPr>
        <w:t>E. 4</w:t>
      </w:r>
    </w:p>
    <w:p>
      <w:r>
        <w:t>Les frais de la procédure de recours, par 330 fr. (art. 422 al. 1 CPP et art. 20 al. 1 TFJP [Tarif des frais judiciaires pénaux du 28 septembre 2010; RSV 312.03.1]), seront mis à la charge du recourant, qui succombe (art. 428 al. 1, 2e phrase CPP).</w:t>
      </w:r>
    </w:p>
    <w:p>
      <w:r>
        <w:t>- 3 - Par ces motifs, la Chambre des recours pénale, statuant à huis clos, prononce : I. Le recours est irrecevable.</w:t>
      </w:r>
    </w:p>
    <w:p>
      <w:r>
        <w:t>- 4 - II. Les frais d’arrêt, par 330 fr. (trois cent trente francs), sont mis à la charge de W.________. III. Le présent arrêt est exécutoire. Le président : Le greffier : Du L'arrêt qui précède, dont la rédaction a été approuvée à huis clos, est notifié, par l'envoi d'une copie complète, à : - M. W.________, - Ministère public central, et communiqué à : - Mme la Procureure d’arrondissement itinérante,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