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PE12.002361 vom 18. Januar 2013</w:t>
      </w:r>
    </w:p>
    <w:p>
      <w:r>
        <w:t>VD Tribunal cantonal, 2013-01-18, FR</w:t>
      </w:r>
    </w:p>
    <w:p>
      <w:r>
        <w:rPr>
          <w:b/>
        </w:rPr>
        <w:t xml:space="preserve">Quelle: </w:t>
      </w:r>
      <w:r>
        <w:t>https://mcp.opencaselaw.ch/entscheid/vd_gerichte_PE12.002361</w:t>
      </w:r>
    </w:p>
    <w:p>
      <w:r>
        <w:t>FR: VD_GERICHTE PE12.002361 du 18 janvier 2013</w:t>
      </w:r>
    </w:p>
    <w:p>
      <w:r>
        <w:t>IT: VD_GERICHTE PE12.002361 del 18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doit être annoncé dans les dix jours qui suivent la communication du jugement, soit la remise ou la notification du dispositif écrit. La déclaration d’appel doit, quant à elle, être déposée dans les vingt jours à compter de la notification du jugement motivé (cf. art. 399 al. 1 et</w:t>
      </w:r>
    </w:p>
    <w:p>
      <w:r>
        <w:rPr>
          <w:b/>
        </w:rPr>
        <w:t>E. 3</w:t>
      </w:r>
    </w:p>
    <w:p>
      <w:r>
        <w:t>En définitive, l’appel de A.________ doit être rejeté.</w:t>
      </w:r>
    </w:p>
    <w:p>
      <w:r>
        <w:t>- 8 -</w:t>
      </w:r>
    </w:p>
    <w:p>
      <w:r>
        <w:rPr>
          <w:b/>
        </w:rPr>
        <w:t>E. 4</w:t>
      </w:r>
    </w:p>
    <w:p>
      <w:r>
        <w:t>Vu l'issue de la cause, les frais d'appel doivent être mis à la charge de A.________. Outre l'émolument, qui se monte à 770 fr. (art. 21 al. 1 TFJP [Tarif des frais judiciaires pénaux du 28 septembre 2010, RSV 312.03.1]), les frais comprennent l’indemnité allouée à son défenseur d’office. Compte tenu de la liste des opérations fournies, il convient d’arrêter à 680 fr. 40, TVA et débours inclus, l’indemnité allouée à Me Jean-Pierre Garbade, défenseur d’office de l’appelante (art. 135 al. 1 CPP). La prévenue ne sera tenue de rembourser à l’Etat le montant de l’indemnité en faveur de son défenseur d’office prévue ci-dessus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