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PE12.002120 vom 14. November 2016</w:t>
      </w:r>
    </w:p>
    <w:p>
      <w:r>
        <w:t>VD Tribunal cantonal, 2016-11-14, FR</w:t>
      </w:r>
    </w:p>
    <w:p>
      <w:r>
        <w:rPr>
          <w:b/>
        </w:rPr>
        <w:t xml:space="preserve">Quelle: </w:t>
      </w:r>
      <w:r>
        <w:t>https://mcp.opencaselaw.ch/entscheid/vd_gerichte_PE12.002120</w:t>
      </w:r>
    </w:p>
    <w:p>
      <w:r>
        <w:t>FR: VD_GERICHTE PE12.002120 du 14 novembre 2016</w:t>
      </w:r>
    </w:p>
    <w:p>
      <w:r>
        <w:t>IT: VD_GERICHTE PE12.002120 del 14 novembre 2016</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RS 312.0]). Dans cette hypothèse, la demande de révision n'est soumise à aucun délai (art. 411 al. 2, 2e phrase, CPP).</w:t>
      </w:r>
    </w:p>
    <w:p>
      <w:r>
        <w:t>- 4 -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 TF 6B_426/2018 du 5 juillet 2018 consid. 3.2).</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Jugendstrafprozessordnung, 2e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2e éd., Bâle 2016, n. 3 ad art. 412 CPP).</w:t>
      </w:r>
    </w:p>
    <w:p>
      <w:r>
        <w:rPr>
          <w:b/>
        </w:rPr>
        <w:t>E. 1.3</w:t>
      </w:r>
    </w:p>
    <w:p>
      <w:r>
        <w:t>En vertu de l'art. 412 al. 2 CPP, la juridiction d'appel n'entre pas en matière sur la demande de révision si celle-ci est manifestement irrecevable ou non motivée ou si une demande de révision invoquant les</w:t>
      </w:r>
    </w:p>
    <w:p>
      <w:r>
        <w:t>- 5 -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L'examen préalable de la demande de révision relève de la procédure écrite (art. 412 al. 1 CPP).</w:t>
      </w:r>
    </w:p>
    <w:p>
      <w:r>
        <w:rPr>
          <w:b/>
        </w:rPr>
        <w:t>E. 2</w:t>
      </w:r>
    </w:p>
    <w:p>
      <w:r>
        <w:t>En l’espèce, la requérante critique l’instruction de la procédure PE12.002120 (choix des experts, conclusions de ces derniers, rejet de sa requête tendant à l’audition de témoins, manquements de son défenseur), au terme de laquelle elle a été condamnée pour tentative de contrainte à l'égard de H.________. Elle n’indique cependant pas quels faits ou moyens de preuves inconnus du premier juge auraient été propres à ébranler les constatations de fait sur lesquelles s’est fondée sa condamnation. Les échanges de courriers avec l'administration fiscale et la Cour de droit administratif et public ne sont d'aucune pertinence. Il en va de même des pièces qui accompagnent les courriers de la requérante des 16 et 23 janvier 2020. Ces documents, s’ils ne sont pas déjà au dossier, ne constituent nullement des moyens de preuves sérieux et nouveaux au sens de l’art. 410 al. 1 let. a CPP. Le requérante ne rend donc pas vraisemblable l'existence d'un motif de révision sérieux.</w:t>
      </w:r>
    </w:p>
    <w:p>
      <w:r>
        <w:rPr>
          <w:b/>
        </w:rPr>
        <w:t>E. 3</w:t>
      </w:r>
    </w:p>
    <w:p>
      <w:r>
        <w:t>Au vu de ce qui précède, la demande de révision, qui apparaît d'emblée manifestement mal fondée, doit être déclarée irrecevable, sans autre échange d'écritures (art. 412 al. 2 et 3 CPP). Les frais de la procédure de révision, par 440 fr. (art. 21 al. 1 et 22 TFIP [Tarif des frais de procédure et indemnités en matière pénale du 28 septembre 2010 ; BLV 312.03.1]), seront mis à la charge de la requérante, qui succombe (art. 428 al. 1, 2e phrase,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