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PE12.001211 vom 14. Februar 2012</w:t>
      </w:r>
    </w:p>
    <w:p>
      <w:r>
        <w:t>VD Tribunal cantonal, 2012-02-14, FR</w:t>
      </w:r>
    </w:p>
    <w:p>
      <w:r>
        <w:rPr>
          <w:b/>
        </w:rPr>
        <w:t xml:space="preserve">Quelle: </w:t>
      </w:r>
      <w:r>
        <w:t>https://mcp.opencaselaw.ch/entscheid/vd_gerichte_PE12.001211</w:t>
      </w:r>
    </w:p>
    <w:p>
      <w:r>
        <w:t>FR: VD_GERICHTE PE12.001211 du 14 février 2012</w:t>
      </w:r>
    </w:p>
    <w:p>
      <w:r>
        <w:t>IT: VD_GERICHTE PE12.001211 del 14 febbraio 2012</w:t>
      </w:r>
    </w:p>
    <w:p>
      <w:pPr>
        <w:pStyle w:val="Heading2"/>
      </w:pPr>
      <w:r>
        <w:t>Erwägungen</w:t>
      </w:r>
    </w:p>
    <w:p>
      <w:r>
        <w:rPr>
          <w:b/>
        </w:rPr>
        <w:t>E. 1</w:t>
      </w:r>
    </w:p>
    <w:p>
      <w:r>
        <w:t>Interjeté dans le délai légal (art. 322 al. 2 et 396 al. 1 CPP [Code de procédure pénale suisse; RS 312.0]) contre une décision du Ministère public (art. 393 al. 1 let. a CPP) et dans les formes prescrites (art. 385 al. 1 CPP), par la plaignante qui a qualité pour recourir au sens de</w:t>
      </w:r>
    </w:p>
    <w:p>
      <w:r>
        <w:t>- 3 - l'art. 382 al. 1 CPP (ATF 137 IV 219 c. 2.2 à 2.7) contre une ordonnance de non-entrée en matière, le recours est recevable.</w:t>
      </w:r>
    </w:p>
    <w:p>
      <w:r>
        <w:rPr>
          <w:b/>
        </w:rPr>
        <w:t>E. 2</w:t>
      </w:r>
    </w:p>
    <w:p>
      <w:r>
        <w:t>Selon l’art. 310 al. 1 CPP, le ministère public rend immédiatement une ordonnance de non-entrée en matière s’il ressort de la dénonciation (cf. art. 301 s. CPP)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L'ordonnance de non-entrée en matière est rendue immédiatement lorsque les conditions légales en sont remplies, c’est-à- dire sans qu’une instruction ne soit ouverte (art. 309 al. 1 et 4 CPP; cf. Pierre Cornu, in: Kuhn/Jeanneret [éd.], Commentaire romand, Code de procédure pénale suisse, Bâle 2011, n. 2 ad art. 310 CPP). Bien que l’art. 310 al. 1 CPP ne le mentionne pas expressément, c'est aussi de la plainte pénale – et non seulement de la dénonciation ou du rapport de police – qu'il peut ressortir que les éléments constitutifs de l’infraction ou les conditions à l’ouverture de l’action pénale ne sont manifestement pas réunis (Cornu, op. cit., n. 1 ad art. 310 CPP). Pour qu’une ordonnance de non-entrée en matière puisse être rendue selon l’art. 310 al. 1 let. a CPP, il suffit que l’un des éléments constitutifs de l’infraction ne soit manifestement pas réalisé (Cornu, op. cit., n. 8 ad art. 310 CPP, p. 1411). Il faut que le comportement dénoncé apparaisse d’emblée comme non punissable (Cornu, op. cit., n. 10 ad art. 310 CPP). Tel n’est pas le cas lorsque le ministère public a (ou devrait avoir) des doutes sur l’existence des éléments constitutifs d'une infraction ou sur la possibilité ultérieure de les prouver (Message du Conseil fédéral relatif à l'unification du droit de la procédure pénale du 21 décembre 2005, FF 2006 pp. 1057 ss, spéc. p. 1248). b) En l’espèce, il apparaît d’emblée que les faits décrits par la recourante dans sa plainte pénale du 19 janvier 2012 dirigée contre</w:t>
      </w:r>
    </w:p>
    <w:p>
      <w:r>
        <w:t>- 4 - N.________ ne remplissent les éléments constitutifs d’aucune infraction pénale. Ainsi, l’inexécution – totale ou partielle – de l’obligation de rembourser une somme d’argent faisant l’objet d’un prêt de consommation (art. 312 ss CO [Code des obligations; RS 220]) ne suffit pas à elle seule à constituer un abus de confiance au sens de l’art. 138 ch. 1 CP (Code pénal; RS 311.0). En effet, dans un tel cas, on n’est en règle générale pas en présence de valeurs patrimoniales confiées au sens de cette disposition, puisque le débiteur n’est en principe tenu que de rembourser la somme prêtée conformément à l’art. 318 CO (ATF 124 IV 9 c. 1a). Il n’en va différemment que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 2.2.2; ATF 124 IV 9 c. 1; ATF 120 IV 117 c. 2). Or, on ne se trouve manifestement pas dans une telle hypothèse dans le cas particulier, s'agissant d'un pur prêt d'espèces fongibles sans usage contractuel stipulé. Quant au fait que N.________ n’aurait pas tenu la comptabilité de la recourante ni rempli sa déclaration d’impôt alors qu’il était rémunéré pour s’acquitter de ces tâches, il n’est pas constitutif de gestion déloyale au sens de l’art. 158 ch. 1 CP. En effet, ne peut avoir une position de gérant, au sens de cette disposition, que celui qui dispose d’une indépendance suffisante et d’un pouvoir de disposition autonome sur les biens administrés (ATF 129 IV 124 c. 3.1). Tel est typiquement le cas du gérant de fortune (ATF 120 IV 190 c. 2b), mais non du simple comptable (ATF 95 IV 65). Par ailleurs, l’art. 158 ch. 1 CP définit une infraction de nature intentionnelle, le dol éventuel ne pouvant être retenu selon la jurisprudence, vu les imprécisions des éléments constitutifs objectifs de l’infraction, que s’il est nettement et strictement caractérisé (ATF 123 IV 17 c. 3e; ATF 120 IV 190 précité, ibid., et les références citées).</w:t>
      </w:r>
    </w:p>
    <w:p>
      <w:r>
        <w:t>- 5 - Dans ces conditions, le refus d’entrer en matière sur la plainte de la recourante ne prête pas le flanc à la critique au regard de l’art. 310 al. 1 let. a CPP, le litige relevant à l’évidence du seul droit civil.</w:t>
      </w:r>
    </w:p>
    <w:p>
      <w:r>
        <w:rPr>
          <w:b/>
        </w:rPr>
        <w:t>E. 3</w:t>
      </w:r>
    </w:p>
    <w:p>
      <w:r>
        <w:t>Il résulte de ce qui précède que le recours, manifestement mal fondé, doit être rejeté sans autres échanges de mémoires (art. 390 al. 2 CPP) et l’ordonnance attaquée confirmée. Les frais de la procédure de recours, constitués en l’espèce du seul émolument d'arrêt, par 550 fr. (art. 20 al. 1 TFJP [tarif des frais judiciaires pénaux; RSV 312.03.1]), seront mis à la charge de la recourante, qui succombe (art. 428 al. 1 CPP). Par ces motifs, la Chambre des recours pénale, statuant à huis clos : I. Rejette le recours. II. Confirme l'ordonnance de non-entrée en matière du 14 février 2012. III. Dit que les frais de la procédure de recours, par 550 fr. (cinq cent cinquante francs), sont mis à la charge de la recourante Y.________. IV. Déclare le présent arrêt exécutoire. La vice-présidente : Le greffier : Du L'arrêt qui précède, dont la rédaction a été approuvée à huis clos, est notifié, par l'envoi d'une copie complète, à : - Mme Y.________,</w:t>
      </w:r>
    </w:p>
    <w:p>
      <w:r>
        <w:t>- 6 -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