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PE12.000306 vom 5. Oktober 2015</w:t>
      </w:r>
    </w:p>
    <w:p>
      <w:r>
        <w:t>VD Tribunal cantonal, 2015-10-05, FR</w:t>
      </w:r>
    </w:p>
    <w:p>
      <w:r>
        <w:rPr>
          <w:b/>
        </w:rPr>
        <w:t xml:space="preserve">Quelle: </w:t>
      </w:r>
      <w:r>
        <w:t>https://mcp.opencaselaw.ch/entscheid/vd_gerichte_PE12.000306</w:t>
      </w:r>
    </w:p>
    <w:p>
      <w:r>
        <w:t>FR: VD_GERICHTE PE12.000306 du 5 octobre 2015</w:t>
      </w:r>
    </w:p>
    <w:p>
      <w:r>
        <w:t>IT: VD_GERICHTE PE12.000306 del 5 ottobre 2015</w:t>
      </w:r>
    </w:p>
    <w:p>
      <w:pPr>
        <w:pStyle w:val="Heading2"/>
      </w:pPr>
      <w:r>
        <w:t>Erwägungen</w:t>
      </w:r>
    </w:p>
    <w:p>
      <w:r>
        <w:rPr>
          <w:b/>
        </w:rPr>
        <w:t>E. 4</w:t>
      </w:r>
    </w:p>
    <w:p>
      <w:r>
        <w:t>L’appelant ayant conclu à la libération de tout chef de prévention, il convient d’examiner s’il s’est bien rendu coupable de lésions corporelles graves et de dommages à la propriété lors des faits survenus dans la nuit du 4 au 5 décembre 2011.</w:t>
      </w:r>
    </w:p>
    <w:p>
      <w:r>
        <w:rPr>
          <w:b/>
        </w:rPr>
        <w:t>E. 4.1</w:t>
      </w:r>
    </w:p>
    <w:p>
      <w:r>
        <w:t>- 16 -</w:t>
      </w:r>
    </w:p>
    <w:p>
      <w:r>
        <w:rPr>
          <w:b/>
        </w:rPr>
        <w:t>E. 4.1.1</w:t>
      </w:r>
    </w:p>
    <w:p>
      <w:r>
        <w:t>Selon l'art. 122 CP (Code pénal suisse du 21 décembre 1937 ; RS 311.0),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Cette infraction est réalisée lorsque quatre éléments sont réunis : un comportement dangereux de l’auteur, une atteinte grave à l’intégrité physique ou à la santé, un lien de causalité naturelle et adéquate entre le comportement de l’auteur et l’atteinte ainsi qu’une intention (Dupuis et al., Petit commentaire du Code pénal, Bâle 2012, n. 2 ad art. 122 CP). L’art. 122 al. 3 CP représente une clause générale destinée à englober les lésions corporelles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(ATF 124 IV 53 consid. 2 ; Dupuis et al., op. cit., n. 15 ad art. 122 CP et les références citées). Le fait de subir simultanément plusieurs lésions en elles-mêmes simples peut en outre amener à parler de lésions corporelles graves (ATF 101 IV 381 consid. 1b, JdT 1976 IV 151). Sous l’angle de cette clause générale, il faut tenir compte d’une combinaison de critères liés à l’importance des souffrances endurées, à la complexité et la longueur du traitement (multiplicité des interventions chirurgicales, etc.), à la durée de la guérison, respectivement de l’arrêt de travail, ou encore à l’impact sur la qualité de vie en général (Dupuis et al., op. cit., n. 15 ad art. 122 CP et les références citées). L’application de la clause générale implique de considérer non seulement le comportement à l’origine de la lésion, mais aussi d’apprécier de façon globale les faits, en tenant compte des</w:t>
      </w:r>
    </w:p>
    <w:p>
      <w:r>
        <w:t>- 17 - conséquences dommageables pour l’intégrité de la victime (TF 6B_115/2009 du 13 août 2009 consid. 6.1).</w:t>
      </w:r>
    </w:p>
    <w:p>
      <w:r>
        <w:rPr>
          <w:b/>
        </w:rPr>
        <w:t>E. 4.1.2</w:t>
      </w:r>
    </w:p>
    <w:p>
      <w:r>
        <w:t>En l’espèce, T.________ a souffert d’une fracture mandibulaire sous-condylienne droite, de lésions dentaires, ainsi que de nombreuses contusions et éraflures de la face, du crâne, du tronc et des membres supérieurs (P. 23/2 ; P. 79/4). Sa fracture de la mâchoire a nécessité une opération chirurgicale et la pose d’une plaque et de vis à l’intérieur de celle-ci (P. 79/3). Ces corps artificiels devront être contrôlés à vie. A la suite de cette fracture, la victime a eu besoin de dix-huit séances de physiothérapie qui se sont déroulées sur une période de quatre mois (P. 23/4 ; P. 24/2). En outre, le 2 mai 2013, T.________ a subi une nouvelle intervention afin de reprendre sa cicatrice cervicale qui avait du mal à cicatriser compte tenu de son emplacement situé dans une zone plieuse et du fait qu’elle restait constamment traumatisée lors du rasage (P. 45). Cette cicatrice, longue de 6 cm, conservera un aspect disgracieux sur le long terme. T.________ a également souffert d’un état de stress post- traumatique, qui a nécessité un suivi thérapeutique d’à tout le moins huit séances auprès d’un psychologue (P. 30/2). Bien qu’il ait été interrompu à plusieurs reprises sur demande de la victime, ce suivi a duré environ huit mois. Le syndrome précité a causé à cette dernière des troubles anxieux et dépressif non spécifié et des troubles du sommeil, lesquels ont dû être traités par médications. En outre, l’intéressé a subi une importante perte de poids, une alcoolisation épisodique, ainsi que des flash-back réguliers. Les témoins entendus lors des débats ont également constaté une dégradation du moral et de l’attitude de T.________ mais aussi qu’il avait souffert d’une blessure importante de l’estime de lui-même et que son image de policier en avait pâti (jgt., pp. 8-10). Enfin, suite à l’agression, le prénommé a bénéficié d’un arrêt de travail de six semaines. Celui-ci a toutefois préféré reprendre son activité au bout de cinq semaines, bien que ses troubles soient toujours présents. Certaines des lésions physiques précitées auront des conséquences durant la vie entière de la victime, que ce soit en raison d’un suivi médical régulier ou d’une atteinte esthétique. Si l’on ajoute à</w:t>
      </w:r>
    </w:p>
    <w:p>
      <w:r>
        <w:t>- 18 - ces lésions les séquelles psychologiques importantes subies par T.________ à la suite de l’agression et la durée des différents suivis psychologique et physiologique, il y a lieu de considérer, selon une appréciation globale, que le prénommé a subi une atteinte grave à son intégrité corporelle. Partant, les lésions doivent être qualifiées de graves. Au surplus, nul doute, au regard des circonstances de l’agression, que les conditions relatives au comportement dangereux de l’auteur et à l’intention sont réalisées. Cela n’est du reste pas contesté. Enfin, les lésions subies par T.________ résultent à l’évidence des coups portés par A.________ et son comparse. Compte tenu de ce qui précède, c’est à juste titre que le tribunal correctionnel a retenu que l’appelant s’était rendu coupable de lésions corporelles graves.</w:t>
      </w:r>
    </w:p>
    <w:p>
      <w:r>
        <w:rPr>
          <w:b/>
        </w:rPr>
        <w:t>E. 4.2</w:t>
      </w:r>
    </w:p>
    <w:p>
      <w:r>
        <w:t>S’agissant de l’infraction de dommages à la propriété (art. 144 al. 1 CP), les premiers juges peuvent être suivis. En effet, lors de l’attaque, A.________ a brisé le bracelet et le collier de la victime, tous deux d’une valeur de 200 fr. chacun. Il a en outre détruit le T-shirt de cette dernière, d’une valeur de 90 francs. L’appelant s’est donc bien rendu coupable de cette infraction.</w:t>
      </w:r>
    </w:p>
    <w:p>
      <w:r>
        <w:rPr>
          <w:b/>
        </w:rPr>
        <w:t>E. 5</w:t>
      </w:r>
    </w:p>
    <w:p>
      <w:r>
        <w:t>L’appelant conteste la réalisation de l’infraction de menaces s’agissant du cas du 18 novembre 2013. Il soutient que l’élément subjectif de cette infraction ferait défaut.</w:t>
      </w:r>
    </w:p>
    <w:p>
      <w:r>
        <w:rPr>
          <w:b/>
        </w:rPr>
        <w:t>E. 5.1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w:t>
      </w:r>
    </w:p>
    <w:p>
      <w:r>
        <w:t>- 19 - plus ou moins normale, face à une situation identique (cf. TF 6B_192/2012 consid. 1.1 du 10 septembre 2012). L’exigence d’une menace grave doit conduire à exclure la punissabilité lorsque le préjudice évoqué apparaît objectivement d’une importance trop limitée pour justifier la répression pénale (Corboz, op. cit., n. 9 ad art. 180 CP). En second lieu, il faut que la victime ait été effectivement alarmée ou effrayée.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 Subjectivement, l’auteur doit avoir l’intention non seulement de proférer des menaces graves, mais aussi d’alarmer ou d’effrayer le destinataire. Le dol éventuel suffit (TF 6B_598/2011 du 27 juillet 2012 consid. 1.1).</w:t>
      </w:r>
    </w:p>
    <w:p>
      <w:r>
        <w:rPr>
          <w:b/>
        </w:rPr>
        <w:t>E. 5.2</w:t>
      </w:r>
    </w:p>
    <w:p>
      <w:r>
        <w:t>L’appelant soutient qu’il n’aurait pas eu l’intention de menacer L.________ en lui disant qu’il allait « niquer toute [sa] race et [sa] famille, même au Portugal » mais aurait en réalité agi de la sorte pour le forcer à déposer plainte et ainsi l’amener, par un moyen détourné, à témoigner dans le cadre de l’agression de T.________, à laquelle il avait assisté. L’appelant avait déjà servi cette version aux premiers juges. Cet argument n’est pas pertinent. En effet, si l’appelant a tenu les propos qui lui sont reprochés, c’est parce que, l’accusant de l’avoir dénoncé, il en voulait à L.________ d’avoir transmis son nom à T.________ et parce que, comme l’ont relevé les premiers juges (jgt., p. 16), il avait refusé de témoigner dans le cadre de l’agression précitée. A.________ a par ailleurs admis avoir demandé à trois reprises au plaignant de témoigner en sa faveur, ce qu’il a toujours refusé à faire par peur de représailles (Dossier joint C, PVaud.</w:t>
      </w:r>
    </w:p>
    <w:p>
      <w:r>
        <w:t>- 20 - 1). Ainsi, l’appelant ne peut décemment soutenir ne pas avoir eu l’intention, à tout le moins par dol éventuel, d’effrayer le lésé en tenant les propos en question. Au surplus et pour autant que l’on donne un quelconque crédit aux déclarations de l’appelant, le mobile, soit la prétendue raison qui l’aurait poussé à menacer L.________, n’est pas synonyme d’intention. Pour le reste, il n’y a pas lieu de remettre en cause l’appréciation du tribunal selon laquelle il a retenu, en se fondant sur les déclarations de L.________, que ce dernier a craint pour son intégrité physique et celle de sa famille (jgt., p. 16). En soi, les propos tenus par A.________ sont effrayants. Ils le sont d’autant plus lorsqu’ils proviennent d’une personne connue de la personne menacée et qui est [...] de kickboxing. En outre, le plaignant a indiqué dans sa plainte qu’il avait pris les menaces au sérieux et a par la suite déclaré qu’il souhaitait avoir une protection contre le prénommé (Dossier joint C, PVaud. 1). Partant, l’infraction de menaces est réalisée. La condamnation pour ce chef d’accusation doit être confirmée. Le moyen de l’appelant doit être rejeté.</w:t>
      </w:r>
    </w:p>
    <w:p>
      <w:r>
        <w:rPr>
          <w:b/>
        </w:rPr>
        <w:t>E. 6</w:t>
      </w:r>
    </w:p>
    <w:p>
      <w:r>
        <w:t>Subsidiairement, l’appelant considère que la peine prononcée à son encontre serait trop sévère, dès lors que l’autorité de première instance n’aurait pas suffisamment tenu compte de sa situation personnelle, et qu’elle devrait être réduite de manière à être compatible avec l’octroi d’un sursis complet. L’appelant fait encore valoir qu’il conviendrait de tenir compte du fait qu’il aurait agi par peur et sur une représentation erronée des événements lors des faits du 5 décembre 2011.</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- 21 -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6B_353/2008 du 30 mai 2008 consid. 2.3). Ainsi, lorsque le pronostic quant au comportement futur de l'auteur n'est pas défavorable, la loi exige que l'exécution de la peine soit au moins partiellement suspendue. En revanche, un pronostic défavorable exclut également le sursis partiel. Lorsque le juge suspend totalement ou partiellement l'exécution d'une peine, il impartit au condamné un délai d'épreuve de deux à cinq ans (art. 44 al. 1 CP).</w:t>
      </w:r>
    </w:p>
    <w:p>
      <w:r>
        <w:rPr>
          <w:b/>
        </w:rPr>
        <w:t>E. 6.2</w:t>
      </w:r>
    </w:p>
    <w:p>
      <w:r>
        <w:t>A l’instar du tribunal correctionnel, il convient de retenir que la culpabilité de l’appelant est importante. Les faits sont constitutifs d’actes</w:t>
      </w:r>
    </w:p>
    <w:p>
      <w:r>
        <w:t>- 22 - de violence gratuite et sont très graves, de même que les conséquences de l’agression. De surcroît, l’élément déclencheur de l’altercation était totalement futile, dès lors que ce n’est qu’une simple question de regards qui a conduit l’appelant à se déchaîner comme il l’a fait. A cet égard, la version fantaisiste de l’appelant selon laquelle il aurait agi à la suite d’un malentendu ayant eu lieu avant l’agression et sur une représentation erronée des faits n’a pas été retenu par la cour de céans et n’entrera pas en considération dans la fixation de la peine. Il y a plutôt lieu de constater qu’A.________ persiste à ne pas admettre ni assumer ses agissements, et ce même lorsqu’il est confronté à plusieurs témoins unanimes. On relève encore le caractère manipulateur du prévenu, qui ne cesse d’imaginer des stratagèmes afin de masquer ses comportements délictueux, allant même jusqu’à déposer plainte contre la victime et menacer un témoin. Par ailleurs, les antécédents de l’appelant sont défavorables, puisqu’il s’agit de sa cinquième condamnation. En outre, avant les faits de la présente affaire, il avait déjà été condamné à deux reprises pour des infractions contre l’intégrité corporelle. Il sera enfin tenu compte du concours d’infractions. A décharge, on peut également prendre en compte, comme l’ont fait les premiers juges, la situation personnelle de l’appelant et sa bonne insertion sociale. Au vu de ce qui précède, la peine privative de liberté de vingt- quatre mois prononcée par le tribunal est adéquate et doit être confirmée. Au vu des antécédents et de la récidive pendant le délai d’épreuve, le pronostic concernant l’appelant est mitigé. L’octroi d’un sursis sur l’entier de la peine est donc exclu. Cependant, au regard du temps qui s’est écoulé depuis les faits et de la bonne insertion sociale et professionnelle de l’appelant, l’octroi d’un sursis partiel peut entrer en ligne de compte. L’exécution d’une partie de la peine permettra ainsi de tenir compte de manière appropriée des impératifs de prévention spéciale. A l’instar du tribunal, la cour de céans est d’avis que l’exécution d’une peine privative de liberté de la moitié de la peine infligée, soit de douze mois, sera de nature à détourner l’auteur de la commission de nouvelles infractions. Le délai d’épreuve de cinq ans sera également confirmé, vu les antécédents de l’appelant.</w:t>
      </w:r>
    </w:p>
    <w:p>
      <w:r>
        <w:t>- 23 -</w:t>
      </w:r>
    </w:p>
    <w:p>
      <w:r>
        <w:rPr>
          <w:b/>
        </w:rPr>
        <w:t>E. 7</w:t>
      </w:r>
    </w:p>
    <w:p>
      <w:r>
        <w:t>Subsidiairement, l’appelant a conclu à ce qu’il soit renoncé à ordonner la révocation du sursis accordé le 31 mars 2010 par le Tribunal de police de Lausanne.</w:t>
      </w:r>
    </w:p>
    <w:p>
      <w:r>
        <w:rPr>
          <w:b/>
        </w:rPr>
        <w:t>E. 7.1</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w:t>
      </w:r>
    </w:p>
    <w:p>
      <w:r>
        <w:rPr>
          <w:b/>
        </w:rPr>
        <w:t>E. 7.2</w:t>
      </w:r>
    </w:p>
    <w:p>
      <w:r>
        <w:t>En l’espèce, bien que l’appelant ait commis une infraction durant le délai d’épreuve, le pronostic le concernant ne peut être considéré comme totalement défavorable. Par ailleurs, l’exécution partielle de la peine prononcée dans le cadre de la présente affaire ainsi que le délai d’épreuve de cinq ans paraissent suffisants pour détourner l’appelant de toute velléité de récidive. Au reste, mis à part une condamnation récente en lien avec la législation sur la circulation routière, l’appelant n’a pas commis d’autres infractions depuis un certain temps. Il convient dès lors d’admettre l’appel sur ce point et de renoncer à révoquer le sursis accordé à l’appelant par le Tribunal de police de Lausanne le 31 mars 2010.</w:t>
      </w:r>
    </w:p>
    <w:p>
      <w:r>
        <w:rPr>
          <w:b/>
        </w:rPr>
        <w:t>E. 8</w:t>
      </w:r>
    </w:p>
    <w:p>
      <w:r>
        <w:t>En définitive, l’appel doit être partiellement admis et le jugement entrepris réformé dans le sens des considérants. Vu l’issue de la cause, l’émolument d’arrêt, par 2’160 fr. (art. 21 al. 1 et 2 TFIP [Tarif des frais de procédure et indemnités en matière pénale du 28 septembre 2010 ; RSV 312.03.1]), sera mis pour deux tiers, soit par 1’440 fr., à la charge d’A.________, le solde étant laissé à la charge de l’Etat.</w:t>
      </w:r>
    </w:p>
    <w:p>
      <w:r>
        <w:t>- 24 - Le 3 février 2016, le président de la cour de céans a relevé Me Julien Gafner de son mandat de défenseur d’office d’A.________ et lui a alloué une indemnité pour la procédure d’appel de 1'520 fr. 30, TVA et débours inclus. Vu le sort de l’appel, ce montant sera également mis pour deux tiers, soit par 1'013 fr. 55, à la charge de l’appelant, le solde étant laissé à la charge de l’Etat. Selon la liste d’opérations produite, une indemnité pour la procédure d’appel d’un montant de 1'674 fr. 55, TVA et débours inclus, sera allouée au conseil d’office de T.________. Au regard de l’issue de la cause, ce montant sera intégralement mis à la charge de l’appelant puisque la partie plaignante ne succombe pas à l’appel. A.________ ne sera tenu de rembourser à l’Etat le montant mis à sa charge de l’indemnité en faveur de son défenseur d’office Me Julien Gafner et le montant de l’indemnité en faveur du conseil d’office de T.________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