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PE11.022094 vom 4. Januar 2012</w:t>
      </w:r>
    </w:p>
    <w:p>
      <w:r>
        <w:t>VD Tribunal cantonal, 2012-01-04, FR</w:t>
      </w:r>
    </w:p>
    <w:p>
      <w:r>
        <w:rPr>
          <w:b/>
        </w:rPr>
        <w:t xml:space="preserve">Quelle: </w:t>
      </w:r>
      <w:r>
        <w:t>https://mcp.opencaselaw.ch/entscheid/vd_gerichte_PE11.022094</w:t>
      </w:r>
    </w:p>
    <w:p>
      <w:r>
        <w:t>FR: VD_GERICHTE PE11.022094 du 4 janvier 2012</w:t>
      </w:r>
    </w:p>
    <w:p>
      <w:r>
        <w:t>IT: VD_GERICHTE PE11.022094 del 4 gennaio 2012</w:t>
      </w:r>
    </w:p>
    <w:p>
      <w:pPr>
        <w:pStyle w:val="Heading2"/>
      </w:pPr>
      <w:r>
        <w:t>Erwägungen</w:t>
      </w:r>
    </w:p>
    <w:p>
      <w:r>
        <w:rPr>
          <w:b/>
        </w:rPr>
        <w:t>E. 20</w:t>
      </w:r>
    </w:p>
    <w:p>
      <w:r>
        <w:t>mai 2011. Il est donc probable que les frais d'avocat se rapportent principalement à la préparation de ladite documentation. Toutefois, sachant que la note d'honoraires précise que l'activité de l'avocat s'est terminée au 31 juillet 2011 et que les projets devaient être remis à H.________ d'ici au 20 mai 2011, on peut se demander si l'entier des frais d'avocat invoqués par P.________ se rapportent réellement à la préparation et à la rédaction de la documentation contractuelle en vue de la vente de cette société ou si elle inclut également d'autres frais. Ce point peut cependant rester indécis. En effet, quoi qu'il en soit, et même si P.________</w:t>
      </w:r>
    </w:p>
    <w:p>
      <w:r>
        <w:t>- 8 - a consenti à un certain nombre de frais dans l'optique de mener à bien les négociations en vue de la vente de sa société, il apparaît que ces frais n'ont pas enrichi la S.________, H.________ ou les personnes visées par la plainte. Dès lors, même si on considère que les frais consentis par P.________ ont été "soustraits" à son patrimoine, la condition de l'enrichissement illégitime n'est pas réalisée faute d'identité matérielle entre l'élément soustrait au patrimoine de la victime et l'enrichissement de l'auteur. d) Au vu de ce qui précède, les conditions de l'infraction d'escroquerie ne sont manifestement pas remplies. C'est donc à bon droit que le Procureur a rendu une ordonnance de non-entrée en matière s'agissant de l'infraction d'escroquerie. 4. a) L'art. 251 CP punit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Parmi les éléments subjectifs de l'infraction, l'intention doit être établie de même qu'un dessein spécial, qui peut se présenter sous deux formes alternatives, soit le dessein de nuire ou le dessein d'obtenir un avantage illicite (Corboz, Les infractions en droit suisse, 3e éd, Berne 2010, vol. II, n. 171 ss ad art. 251 CP; Dupuis et alii, op. cit., ad art. 251 CP, n. 5, p. 1436). En outre, il s'agit d'un délit formel, aucun résultat particulier n'étant exigé (Dupuis et alii, op. cit., ad art. 251 CP, n. 2, p. 1435). b) En l'espèce, bien que les représentants de la recourante aient mentionné qu'un extrait d'un compte bancaire au nom de la S.________ provenant de la [...], faisant état d'un avoir de 560 millions US dollars, leur aurait été présenté en France au mois d'avril 2011, il n'existe au dossier aucune preuve de l'existence d'un tel document. Dès lors, sans la présence de ce titre, il apparaît impossible de déterminer si celui-ci</w:t>
      </w:r>
    </w:p>
    <w:p>
      <w:r>
        <w:t>- 9 - constitue un faux ou non. De toute manière, rien dans le dossier ne démontre l'existence d'un avantage illicite ou d'une atteinte aux intérêts de P.________, qui ne résulterait pas simplement des négociations précontractuelles. Enfin, faute de notion de résultat au sens de l'art. 8 CP, la compétence territoriale des autorités suisses de poursuite pénale apparaît d'emblée douteuse (Dupuis et alii, op. cit., ad art. 8 CP, nn. 10 à 15, pp. 55 ss). c) Considérant ces éléments, la décision du Procureur de ne pas entrer en matière sur la plainte s'agissant d'un faux dans les titres est fondée. 5. a) En vertu de l'art. 305bis ch. 1 CP, se rend coupable de blanchiment d'argent celui qui aura commis un acte propre à entraver l’identification de l’origine, la découverte ou la confiscation de valeurs patrimoniales dont il savait ou devait présumer qu’elles provenaient d’un crime. Sur le plan objectif, l'infraction suppose l'existence de valeurs patrimoniales provenant d'un crime, ainsi qu'un comportement de l'auteur qui soit propre à entraver l'identification de l'origine, la découverte ou la confiscation de celles-ci, et sur le plan subjectif, il s'agit de prouver l'intention de l'auteur (Dupuis et alii, op. cit., nn. 9 et 10, ad art. 305bis CP, p. 1774). b) En l'espèce, la recourante invoque cette nouvelle infraction à l'appui de son recours. Elle estime qu'au vu des faits faisant l'objet de sa plainte pénale et des montants impliqués, la commission d'une tentative de blanchiment d'argent ne saurait être exclue; l'instruction doit par conséquent être ouverte sur ce point. On constate à ce propos qu'il existe une contradiction à invoquer une tentative de blanchiment d'argent, alors que dans l'argumentation développée à l'appui de la plainte pour escroquerie, la recourante a soutenu le fait que les sociétés des prévenus n'avaient jamais été en mesure d'exécuter les engagements financiers pris, notamment celui de finaliser la transaction d'achat de P.________ ainsi</w:t>
      </w:r>
    </w:p>
    <w:p>
      <w:r>
        <w:t>- 10 - que celui de verser le montant de 600'000 fr. dû à cette dernière comme prévu, sous le titre «Exclusivité» de la lettre d'intention du 26 avril 2011. Soit les sociétés des prévenus ont de l'argent, soit elles n'en ont pas. Dans la première hypothèse, encore faudrait-il pouvoir prouver que l'argent détenu par les sociétés des prévenus provienne d'un crime et qu'un comportement constitutif de blanchiment d'argent soit réalisé. Or, aucun document présent au dossier ne porte à croire qu'il existe des indices de tels comportements. c) Par conséquent, il n'y a pas lieu d'ouvrir une enquête à l'encontre des prévenus pour tentative de blanchiment d'argent. 6. Il résulte de ce qui précède que la décision entreprise échappe à la critique et que le recours doit être rejeté sans autres échanges d’écritures (art. 390 al. 2 CPP). Les frais de la procédure de recours, constitués en l’espèce du seul émolument d'arrêt, par 990 fr. (art. 20 al. 1 TFJP [tarif des frais judiciaires pénaux; RSV 312.03.1]), seront mis à la charge de la recourante, qui succombe (art. 428 al. 1 CPP). Par ces motifs, la Chambre des recours pénale, statuant à huis clos, prononce : I. Le recours est rejeté. II. L'ordonnance est confirmée. III. Les frais de la procédure de recours, par 990 fr. (neuf cent nonante francs), sont mis à la charge de la recourante. IV. Le présent arrêt est exécutoire. Le président : Le greffier :</w:t>
      </w:r>
    </w:p>
    <w:p>
      <w:r>
        <w:t>- 11 - Du L'arrêt qui précède, dont la rédaction a été approuvée à huis clos, est notifié, par l'envoi d'une copie complète, à : - M. Elie Elkaim, avocat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