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PE11.022068 vom 27. März 2014</w:t>
      </w:r>
    </w:p>
    <w:p>
      <w:r>
        <w:t>VD Tribunal cantonal, 2014-03-27, FR</w:t>
      </w:r>
    </w:p>
    <w:p>
      <w:r>
        <w:rPr>
          <w:b/>
        </w:rPr>
        <w:t xml:space="preserve">Quelle: </w:t>
      </w:r>
      <w:r>
        <w:t>https://mcp.opencaselaw.ch/entscheid/vd_gerichte_PE11.022068</w:t>
      </w:r>
    </w:p>
    <w:p>
      <w:r>
        <w:t>FR: VD_GERICHTE PE11.022068 du 27 mars 2014</w:t>
      </w:r>
    </w:p>
    <w:p>
      <w:r>
        <w:t>IT: VD_GERICHTE PE11.022068 del 27 marzo 2014</w:t>
      </w:r>
    </w:p>
    <w:p>
      <w:pPr>
        <w:pStyle w:val="Heading2"/>
      </w:pPr>
      <w:r>
        <w:t>Erwägungen</w:t>
      </w:r>
    </w:p>
    <w:p>
      <w:r>
        <w:rPr>
          <w:b/>
        </w:rPr>
        <w:t>E. 1</w:t>
      </w:r>
    </w:p>
    <w:p>
      <w:r>
        <w:t>N.________ est née le 8 décembre 1986 à [...]. Elle est mariée et mère de trois enfants de 6, 4 et 2 ans. Son époux percevait en 2012 un salaire mensuel brut de 4'500 francs. Le loyer de la famille se montait alors à 1'173 fr. par mois. Le couple payait un montant de 350 fr. par mois pour les assurances maladies qui étaient partiellement subsidiées. La prévenue n’avait pas de dettes. Le casier judiciaire suisse de N.________ ne comporte pas d’inscription.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B.________, qui exploitait un kiosque sis [...] à [...], avait envisagé de le remettre à N.________ mais la vente ne s’est finalement pas faite. Le 19 décembre 2011, à l’occasion d’un achat de carte SIM, une altercation a opposé les deux femmes à l’intérieur et aux abords de ce commerce. Le 23 décembre 2011, B.________ a déposé plainte pénale pour atteinte à l'honneur à l'encontre de N.________. Ensuite du témoignage de J.________ du 5 octobre 2012 dont il ressort que la prévenue avait traité B.________ de « pute » lors de l’altercation verbale du 19 décembre 2011 (PV aud. 3, p. 2), cette dernière a déposé une plainte complémentaire le 9 novembre 2012 pour ces faits.</w:t>
      </w:r>
    </w:p>
    <w:p>
      <w:r>
        <w:rPr>
          <w:b/>
        </w:rPr>
        <w:t>E. 2.2.1</w:t>
      </w:r>
    </w:p>
    <w:p>
      <w:r>
        <w:t>Par ordonnance pénale du 3 juin 2013, le Ministère public de l’arrondissement de Lausanne a condamné N.________ pour injure à une</w:t>
      </w:r>
    </w:p>
    <w:p>
      <w:r>
        <w:t>- 4 - peine pécuniaire de 10 jours-amende à 30 fr., avec sursis pendant deux ans, et a mis les frais de la procédure à sa charge. Contestant les faits reprochés, N.________ a formé opposition à cette ordonnance par courrier du 14 juin 2013. Le Ministère public a décidé de maintenir sa décision et a transmis le dossier de la cause à l’autorité de première instance en vue des débats, en application de l’art. 356 al. 1 CPP.</w:t>
      </w:r>
    </w:p>
    <w:p>
      <w:r>
        <w:rPr>
          <w:b/>
        </w:rPr>
        <w:t>E. 2.2.2</w:t>
      </w:r>
    </w:p>
    <w:p>
      <w:r>
        <w:t>Par ordonnance du 3 juin 2013, le Ministère public a ordonné le classement de la procédure pénale dirigée contre N.________ pour diffamation et injure à la suite du dépôt de la première plainte et a laissé les frais à la charge de l'Etat. La Procureure a considéré que les déclarations des parties étant irrémédiablement contradictoires, la prévenue contestant les injures relevées dans la plainte et les témoignages recueillis n'ayant pas permis de corroborer les propos injurieux dénoncés par la plaignante. Cette ordonnance n’a pas fait l’objet d’un recours.</w:t>
      </w:r>
    </w:p>
    <w:p>
      <w:r>
        <w:rPr>
          <w:b/>
        </w:rPr>
        <w:t>E. 2.3</w:t>
      </w:r>
    </w:p>
    <w:p>
      <w:r>
        <w:t>Devant le Tribunal de police, la prévenue a contesté avoir traité la plaignante de « pute ». Elle a conclu à l’allocation de conclusions civiles pour un montant de 474 fr. 20 et au versement d’une indemnité de l’art. 429 CPP à hauteur de 5'564 fr. 80. En d roit : 1. Interjeté dans les formes et délais légaux par une partie ayant qualité pour recourir contre le jugement du tribunal de première instance qui a clos la procédure (art. 398 al. 1 CPP), l’appel de N.________ est recevable. L’appel relève de la procédure écrite, dès lors qu’il porte uniquement sur la question des frais et d’une indemnité (art. 406 al. 1 let.</w:t>
      </w:r>
    </w:p>
    <w:p>
      <w:r>
        <w:t>- 5 - d CPP). L’infraction d’injure étant passible de jours-amende, l’appel n’est pas restreint au sens de l’art. 398 al. 4 CPP et la cause n’est pas soumise à un juge unique (art. 14 al. 3 LCVPP a contrario).</w:t>
      </w:r>
    </w:p>
    <w:p>
      <w:r>
        <w:rPr>
          <w:b/>
        </w:rPr>
        <w:t>E. 3</w:t>
      </w:r>
    </w:p>
    <w:p>
      <w:r>
        <w:t>Invoquant une violation de l’art. 426 al. 2 CPP, l’appelante conteste devoir payer la moitié des frais judiciaires, un comportement fautif n’ayant pu être établi.</w:t>
      </w:r>
    </w:p>
    <w:p>
      <w:r>
        <w:rPr>
          <w:b/>
        </w:rPr>
        <w:t>E. 3.1</w:t>
      </w:r>
    </w:p>
    <w:p>
      <w:r>
        <w:t>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c. 2e). Le juge doit fonder son prononcé sur des faits incontestés ou déjà clairement établis (ATF 112 Ia 371 c. 2a).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w:t>
      </w:r>
    </w:p>
    <w:p>
      <w:r>
        <w:t>- 6 -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Le fait reproché doit constituer une violation claire de la norme de comportement (ATF 119 Ia 332 c. 1b; ATF 116 Ia 162 c. 2d). L'acte répréhensible ne doit pas nécessairement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w:t>
      </w:r>
    </w:p>
    <w:p>
      <w:r>
        <w:rPr>
          <w:b/>
        </w:rPr>
        <w:t>E. 3.2</w:t>
      </w:r>
    </w:p>
    <w:p>
      <w:r>
        <w:t>En l’espèce, il est vrai que le premier juge a libéré l’appelante de l’infraction d’injure au bénéfice du doute. Toutefois, cette dernière perd de vue que le tribunal a identifié un autre comportement fautif de sa part, consistant à se laisser entraîner dans l’altercation qui l’a opposée à la plaignante et à s’entêter dans cette attitude (cf. jgt., p. 23). Le visionnement du DVD de l’altercation du 19 décembre 2011 permet de constater que l’appelante, au lieu de s’en aller après avoir quitté le kiosque une fois la dispute enclenchée, y est revenue à deux reprises pour en découdre verbalement avec B.________ en présence de deux clientes de celle-ci. De plus, les images enregistrées montrent que l’appelante, énervée et véhémente, gesticulant et pointant la plaignante du doigt de manière méprisante, a fait preuve d’agressivité gestuelle et</w:t>
      </w:r>
    </w:p>
    <w:p>
      <w:r>
        <w:t>- 7 - verbale. Même si les mots exacts prononcés n’ont pu être établis, ce comportement agressif répété était de nature à blesser autrui et relève d’une atteinte illicite à la personnalité au sens large de l’art. 28 CC, plus précisément d’une atteinte à la dignité humaine et au droit à la considération de ses semblables, l’estime professionnelle, économique et sociale étant civilement protégée (Steinauer/Fountoulakis, Droit des personnes physiques et de la protection de l’adulte, Berne 2014, n. 535, p. 187). Cette faute civile fonde la condamnation de l’appelante à la moitié des frais de la procédure. L’appel doit par conséquent être rejeté sur ce point.</w:t>
      </w:r>
    </w:p>
    <w:p>
      <w:r>
        <w:rPr>
          <w:b/>
        </w:rPr>
        <w:t>E. 4</w:t>
      </w:r>
    </w:p>
    <w:p>
      <w:r>
        <w:t>L’appelante conclut à l’allocation d’une indemnité au titre de l’art. 429 CPP.</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Ainsi, le sort réservé aux frais est en règle générale le même que pour les indemnités (CAPE 21 mars 2014/94 c. 4.1 et réf.).</w:t>
      </w:r>
    </w:p>
    <w:p>
      <w:r>
        <w:t>- 8 -</w:t>
      </w:r>
    </w:p>
    <w:p>
      <w:r>
        <w:rPr>
          <w:b/>
        </w:rPr>
        <w:t>E. 4.2</w:t>
      </w:r>
    </w:p>
    <w:p>
      <w:r>
        <w:t>En l’espèce, le comportement fautif de l’appelante identifié ci- dessus entraîne, en application de l’art. 430 al. 1 let. a CPP, le refus de toute indemnité de l’art. 429 CPP. Il n’y a dès lors pas lieu d’examiner si l’assistance d’un conseil et les opérations qui en découlent étaient nécessaires. Mal fondé, ce grief doit également être rejeté.</w:t>
      </w:r>
    </w:p>
    <w:p>
      <w:r>
        <w:rPr>
          <w:b/>
        </w:rPr>
        <w:t>E. 5</w:t>
      </w:r>
    </w:p>
    <w:p>
      <w:r>
        <w:t>En définitive, l'appel doit être rejeté et le jugement attaqué intégralement confirmé. Vu l'issue de l’appel, les frais de la procédure d'appel doivent être mis à la charge de l’appelante, qui succombe entièrement (art. 428 al. 1, 1ère phrase, CPP). Il n'y a pas lieu d'allouer de dépens à l'intimée pour la procédure d’appel, celle-ci n'ayant pas chiffré ni justifié ses prétentions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