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PE11.021824 vom 23. Dezember 2011</w:t>
      </w:r>
    </w:p>
    <w:p>
      <w:r>
        <w:t>VD Tribunal cantonal, 2011-12-23, FR</w:t>
      </w:r>
    </w:p>
    <w:p>
      <w:r>
        <w:rPr>
          <w:b/>
        </w:rPr>
        <w:t xml:space="preserve">Quelle: </w:t>
      </w:r>
      <w:r>
        <w:t>https://mcp.opencaselaw.ch/entscheid/vd_gerichte_PE11.021824</w:t>
      </w:r>
    </w:p>
    <w:p>
      <w:r>
        <w:t>FR: VD_GERICHTE PE11.021824 du 23 décembre 2011</w:t>
      </w:r>
    </w:p>
    <w:p>
      <w:r>
        <w:t>IT: VD_GERICHTE PE11.021824 del 23 dicembre 2011</w:t>
      </w:r>
    </w:p>
    <w:p>
      <w:pPr>
        <w:pStyle w:val="Heading2"/>
      </w:pPr>
      <w:r>
        <w:t>Volltext</w:t>
      </w:r>
    </w:p>
    <w:p>
      <w:r>
        <w:t>TRIBUNAL CANTONAL 42 PE11.021824-JON/SPG CHAMBRE DE S RECO URS PEN ALE __________________________________________ Séance du 9 février 2012 __________________ Présidence de M. KRIEGER, président Juges : Mme Epard et M. Abrecht Greffière : Mme de Watteville ***** Art. 222, 227, 393 al. 1 let. c CPP Vu l'enquête n° PE11.021824-JON/SPG instruite d'office par le Ministère public de l'arrondissement de Lausanne contre X.________ pour vol en bande, vu l'interpellation par la police de X.________ le 21 décembre 2011, vu l'ordonnance du 23 décembre 2011 par laquelle le Tribunal des mesures de contrainte a ordonné la détention provisoire de X.________ pour une durée maximale d'un mois, soit jusqu'au 21 janvier 2012, vu la demande de prolongation de la détention provisoire du Ministère public adressée le 13 janvier 2012 au Tribunal des mesures de contrainte, vu les déterminations de X.________ adressées le 19 janvier 2012 au Tribunal des mesures de contrainte, 351</w:t>
      </w:r>
    </w:p>
    <w:p>
      <w:r>
        <w:t>- 2 - vu l'ordonnance du 20 janvier 2012 par laquelle le Tribunal des mesures de contrainte a ordonné la prolongation de la détention provisoire de X.________ pour une durée maximale de trois mois, soit au plus tard jusqu'au 21 avril 2012, vu le recours interjeté le 2 février 2012 par X.________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recourant soutient que l'ordonnance du Tribunal des mesures de contrainte ne serait pas suffisamment motivée et violerait ainsi le droit d'être entendu, que le droit d'être entendu garanti à l'art. 29 al. 2 Cst. (Constitution fédérale de la Confédération suisse du 18 avril 1999; RS 101) implique notamment pour l'autorité l'obligation de motiver sa décision,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que l'autorité ne doit toutefois pas se prononcer sur tous les moyens des parties, qu'elle peut se limiter aux questions décisives (ATF 134 I 83 c. 4.1),</w:t>
      </w:r>
    </w:p>
    <w:p>
      <w:r>
        <w:t>- 3 - que selon la jurisprudence rendue en matière de prolongation de la détention provisoire, on admet qu'une motivation par renvoi à de précédentes décisions ou par adhésion aux motifs de la demande de prolongation de la détention peut être acceptable, pour autant que le prévenu ne fasse pas valoir d'arguments nouveaux (TF 1B_586/2011 du 8 novembre 2011, c. 2.1; TF 1P.399/2002 du 4 septembre 2002, c. 3.1), qu'encore faut-il que les motifs auxquels il est renvoyé soient développés de manière suffisante au regard des exigences de l'art. 29 al. 2 Cst. (ATF 114 Ia 281 c. 4c; ATF 103 Ia 407 c. 3a), qu'en l'espèce, l'ordonnance du Tribunal des mesures de contrainte se réfère à l'ordonnance de mise en détention provisoire rendue le 23 décembre 2011, que l'ordonnance, bien que succincte, est suffisamment motivée, qu'en effet, elle mentionne clairement que le risque de fuite demeure concret, qu'aucun élément ne vient contredire la première ordonnance et que la durée de la détention demeure proportionnée, qu'ainsi, le recourant était en mesure de contester adéquatement la décision, ce qu'il a fait, au demeurant, que le recourant soutient encore que la décision est "particulièrement incompréhensible" lorsqu'elle affirme "qu'aucun élément nouveau ne vient contredire ou modifier l'ordonnance du 23 décembre 2011" alors que les motifs invoqués par le procureur à l'appui de la prolongation de la détention sont en partie nouveaux et que le recourant a fait valoir des arguments ne figurant pas au dossier de la cause, qu'à ce titre, le recourant fait probablement référence au fait qu'un deuxième sac contenant du butin a été retrouvé le 27 décembre 2011, que deux personnes susceptibles d'être les complices du recourant ont été interpellées et que le procureur soupçonne le recourant de se prémunir d'une fausse identité, que ces nouveaux éléments invoqués par le procureur sont plutôt de nature à accroître les soupçons à l'encontre du recourant, à tout le moins ils ne sont pas de nature à contredire l'ordonnance du 23 décembre 2011,</w:t>
      </w:r>
    </w:p>
    <w:p>
      <w:r>
        <w:t>- 4 - qu'en conséquence, on ne voit pas en quoi l'ordonnance entreprise serait incompréhensible, qu'au vu de ce qui précède, l'ordonnance attaquée ne viole pas le droit d'être entendu du recourant; attendu que le recourant conteste l'existence de soupçons suffisants,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w:t>
      </w:r>
    </w:p>
    <w:p>
      <w:r>
        <w:t>- 5 - condamnation doit apparaître vraisemblable après l’accomplissement des actes d’instruction envisageables (TF 1B_414/2011 du 5 septembre 2011 c. 3.1), qu’en l’espèce, X.________ a été interpellé le 21 décembre 2011 en flagrant délit, qu'il a reconnu les faits, expliquant avoir fait le guet pendant que deux comparses cambriolaient plusieurs appartements dans un immeuble à Lausanne (PV aud. 1 R. 3, p. 2; PV aud. 2, p. 2), que ses comparses ont pris la fuite, que la découverte de deux sacs de butin à proximité de l'immeuble cambriolé renforce les soupçons à l'égard du recourant bien que ses complices n'aient pas encore été formellement identifiés et que les résultats des analyses ADN ne soient pas encore connus (PV aud. 1 et 3), qu'au vu de ces éléments, il existe des présomptions de culpabilité suffisantes à l'encontre de X.________; attendu que la décision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est ressortissant français, de passage en Suisse, qu'il n'a dès lors aucune attache avec ce pays, qu'au surplus et contrairement à ce qu'affirme le recourant, son identité n'a pu être déterminée avec certitude, celle fournie n'étant pas conforme au Répertoire national français d'identification des personnes physiques, que compte tenu des charges qui pèsent contre le recourant, il est à craindre qu'il ne tente de prendre la fuite pour se soustraire aux poursuites engagées contre lui,</w:t>
      </w:r>
    </w:p>
    <w:p>
      <w:r>
        <w:t>- 6 - que le risque de fuite fait ainsi obstacle, en l’état, à la relaxation du recourant, que le risque de fuite étant suffisamment avéré, il n'y a pas lieu d'examiner les risques de collusion et de récidive soulevés par le recourant; attendu que le recourant a proposé de déposer ses papiers d'identité à titre de mesure de sûreté,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 saisie de documents d'identité fait partie des mesures de substitution (art. 237 al. 2 let. b CPP), qu'en l'occurrence, la saisie des documents d'identité du recourant n'est pas suffisante pour parer au risque de fuite, un doute persistant, au demeurant, sur sa véritable identité, qu'aucune autre mesure de substitution ne peut être envisagée en l'espèce, qu'en conséquence, il convient de rejeter la requête du recourant;</w:t>
      </w:r>
    </w:p>
    <w:p>
      <w:r>
        <w:t>- 7 -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21 décembre 2011, que mis en cause dans un vol en bande, le prévenu encourt une peine privative de liberté d’une durée supérieure à celle de la détention subie si les faits sont avérés, que, par conséquent, le principe de proportionnalité des intérêts en présence demeure respecté, qu'enfin, rien n'empêche le juge des mesures de contrainte de modifier la durée de la nouvelle prolongation de détention au vu de l'évolution de l'instruction,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w:t>
      </w:r>
    </w:p>
    <w:p>
      <w:r>
        <w:t>- 8 - Par ces motifs, la Chambre des recours pénale, statuant à huis clos : I. Rejette le recours. II. Confirme l'ordonnance du 20 janvier 2012. III. Fixe à 583 fr. 20 (cinq cent huitante-trois francs et vingt centimes) l’indemnité allouée au défenseur d’office de X.________. IV. Dit que les frais du présent arrêt, par 770 fr. (sept cent septante francs), ainsi que l’indemnité due au défenseur d’office de X.________, par 583 fr. 20 (cinq cent huitante-trois francs et vingt centimes),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 Fançois Chanson, avocat (pour X.________), - Ministère public central, et communiqué à : - Mme la Présidente du Tribunal des mesures de contrainte, - M. le Procureur de l'arrondissement de Lausanne</w:t>
      </w:r>
    </w:p>
    <w:p>
      <w:r>
        <w:t>- 9 -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