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PE11.020658 vom 4. November 2014</w:t>
      </w:r>
    </w:p>
    <w:p>
      <w:r>
        <w:t>VD Tribunal cantonal, 2014-11-04, FR</w:t>
      </w:r>
    </w:p>
    <w:p>
      <w:r>
        <w:rPr>
          <w:b/>
        </w:rPr>
        <w:t xml:space="preserve">Quelle: </w:t>
      </w:r>
      <w:r>
        <w:t>https://mcp.opencaselaw.ch/entscheid/vd_gerichte_PE11.020658</w:t>
      </w:r>
    </w:p>
    <w:p>
      <w:r>
        <w:t>FR: VD_GERICHTE PE11.020658 du 4 novembre 2014</w:t>
      </w:r>
    </w:p>
    <w:p>
      <w:r>
        <w:t>IT: VD_GERICHTE PE11.020658 del 4 novembre 2014</w:t>
      </w:r>
    </w:p>
    <w:p>
      <w:pPr>
        <w:pStyle w:val="Heading2"/>
      </w:pPr>
      <w:r>
        <w:t>Erwägungen</w:t>
      </w:r>
    </w:p>
    <w:p>
      <w:r>
        <w:rPr>
          <w:b/>
        </w:rPr>
        <w:t>E. 11</w:t>
      </w:r>
    </w:p>
    <w:p>
      <w:r>
        <w:t>décembre 2008 et, compte tenu de ses déclarations, l’office a délivré des actes de défaut de biens aux créanciers (cf. la lettre du 26 avril 2011 de l’Office des poursuites de Morges, P. 9/1; jgt., p. 10).</w:t>
      </w:r>
    </w:p>
    <w:p>
      <w:r>
        <w:t>- 13 - C’est donc à bon droit que les premiers juges ont reconnu coupable E.________ de banqueroute frauduleuse et fraude dans la saisie, toutes les conditions de cette infraction étant réalisées. Sa condamnation pour ce chef d’accusation doit donc être confirmée. 5. L’appelant conteste la quotité de la peine infligée qu’il considère comme excessivement sévère.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5.2 En l’espèce, la culpabilité de E.________ est importante. En quelques mois, le prévenu a détourné des montants conséquents, soit plus de 800'000 fr. au total, au détriment de ses créanciers, ce qui démontre une énergie délictuelle non négligeable. Ses agissements sont intervenus</w:t>
      </w:r>
    </w:p>
    <w:p>
      <w:r>
        <w:t>- 14 - quelques années seulement après une condamnation de douze mois d‘emprisonnement pour la même infraction. Malgré une longue détention préventive, il n’a toujours pas pris conscience de la gravité de ses actes. Il n’a en outre exprimé aucun regret. A décharge, il sera tenu compte de son bon comportement depuis 2008 et de sa bonne collaboration durant l’enquête. Enfin, comme l’ont dit les premiers juges, le fait que l’appelant ait utilisé les fonds détournés en faveur de sa famille ne peut pas être considéré comme un élément à décharge, le détournement ayant été opéré au préjudice de ses créanciers. Sur la base des éléments qui précède, la peine privative de liberté de vingt mois infligée par les premiers juges – représentant au demeurant un tiers de la peine maximale prévue par l’art. 163 CP – n’est pas excessive et doit en conséquence être confirmée. Cette peine sera assortie du sursis complet et le délai d’épreuve fixé à 5 ans. 6. En définitive, l’appel de E.________ doit être rejeté et le jugement entrepris intégralement confirmé. 7. Vu l’issue de la cause, les frais de la présente procédure, constitués du seul émolument d’arrêt, par 1’390 fr., seront mis à la charge de l’appelant qui succombe (art. 428 al. 1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