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PE11.020340 vom 21. Oktober 2015</w:t>
      </w:r>
    </w:p>
    <w:p>
      <w:r>
        <w:t>VD Tribunal cantonal, 2015-10-21, FR</w:t>
      </w:r>
    </w:p>
    <w:p>
      <w:r>
        <w:rPr>
          <w:b/>
        </w:rPr>
        <w:t xml:space="preserve">Quelle: </w:t>
      </w:r>
      <w:r>
        <w:t>https://mcp.opencaselaw.ch/entscheid/vd_gerichte_PE11.020340</w:t>
      </w:r>
    </w:p>
    <w:p>
      <w:r>
        <w:t>FR: VD_GERICHTE PE11.020340 du 21 octobre 2015</w:t>
      </w:r>
    </w:p>
    <w:p>
      <w:r>
        <w:t>IT: VD_GERICHTE PE11.020340 del 21 ottobre 2015</w:t>
      </w:r>
    </w:p>
    <w:p>
      <w:pPr>
        <w:pStyle w:val="Heading2"/>
      </w:pPr>
      <w:r>
        <w:t>Erwägungen</w:t>
      </w:r>
    </w:p>
    <w:p>
      <w:r>
        <w:rPr>
          <w:b/>
        </w:rPr>
        <w:t>E. 4</w:t>
      </w:r>
    </w:p>
    <w:p>
      <w:r>
        <w:t>A.L.________ conteste encore s’être rendu coupable d’escroquerie en relation avec la plainte déposée par B.________ (cf. consid. c2 supra). Il soutient ici encore que l’astuce ne serait pas réalisée.</w:t>
      </w:r>
    </w:p>
    <w:p>
      <w:r>
        <w:rPr>
          <w:b/>
        </w:rPr>
        <w:t>E. 4.1</w:t>
      </w:r>
    </w:p>
    <w:p>
      <w:r>
        <w:t>En l’espèce, au moment de la conclusion du contrat de bail, A.L.________ a produit à son cocontractant plusieurs documents dont un ordre de paiement daté du 3 octobre et devant être exécuté le lendemain pour un montant de 14'000 fr. ainsi qu’un relevé d’un compte à son nom auprès du Crédit Suisse, document qui tendait à attester un ordre de bonification de 14'000 fr. à la société B.________ en date du 4 octobre 2011. Il a également indiqué qu’il allait recevoir un montant de 18'000 fr. de la part de la [...].</w:t>
      </w:r>
    </w:p>
    <w:p>
      <w:r>
        <w:t>- 20 - A.L.________ ne disposait pas de la somme précitée au moment du paiement et n’a pas reçu le montant annoncé, de sorte que l’argent dû n’a jamais été versé et les loyers sont restés impayés. L’appelant a expliqué aux premiers juges qu’au moment de la signature du bail à loyer auprès de la société B.________, il était dans l’attente d’un versement de l’ordre de 10'000 à 12'000 fr. de la part de la [...]. Aux débats d’appel A.L.________ a produit un document démontrant qu’il percevait effectivement des revenus de la [...] dans le cadre de la succession de son père [...] (P.42/1). Toutefois, le montant figurant dans ce document est sans commune mesure avec celui annoncé par l’appelant puisqu’il se monte à 4'357 fr. 45. Le versement de telles redevances n’intervient en outre pas de manière régulière et A.L.________, qui avait reçu le montant précité en juillet 2011, ne pouvait ainsi ignorer qu’il ne recevrait rien avant plusieurs mois et que le montant qu’il pourrait percevoir serait bien inférieur à celui annoncé. Partant, A.L.________ a une fois de plus trompé son cocontractant en mentant et en omettant l’essentiel. Il a produit des documents dans le but de tromper son bailleur, sans qu’on puisse reprocher à ce dernier un manque de vigilance. Pour l’avoir entendu aux débats d’appel, la Cour constate, avec les premiers juges, que le prévenu s’exprime avec aisance et sait se montrer convaincant. Ici encore, il ne fait aucun doute que le comportement de A.L.________ est constitutif d’escroquerie et que c’est à bon droit que les premiers juges l’ont condamné du chef de cette infraction pour ce cas.</w:t>
      </w:r>
    </w:p>
    <w:p>
      <w:r>
        <w:rPr>
          <w:b/>
        </w:rPr>
        <w:t>E. 5.1</w:t>
      </w:r>
    </w:p>
    <w:p>
      <w:r>
        <w:t>L’appelant conteste avoir commis le vol objet du cas figurant sous considérant c3 supra. Il soutient que le gel aurait été acheté dans un autre magasin et que le câble USB et la prise lui auraient été offerts par sa mère.</w:t>
      </w:r>
    </w:p>
    <w:p>
      <w:r>
        <w:t>- 21 -</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 TF 6B_831/2009 précité consid. 2.2.2). Sur ce point, des doutes simplement abstraits et théoriques ne suffisent pas, car de tels doutes sont toujours possibles et une certitude absolue ne peut être exigée. Bien plutôt, il doit s’agir de doutes importants</w:t>
      </w:r>
    </w:p>
    <w:p>
      <w:r>
        <w:t>- 22 - et irréductibles, qui s’imposent au vu de la situation objective (ATF 127 I 38 consid. 2a).</w:t>
      </w:r>
    </w:p>
    <w:p>
      <w:r>
        <w:rPr>
          <w:b/>
        </w:rPr>
        <w:t>E. 5.3</w:t>
      </w:r>
    </w:p>
    <w:p>
      <w:r>
        <w:t>En l’espèce, A.L.________ persiste à nier l’évidence. Il a expliqué que le gel avait été acheté dans un autre commerce et que le câble et la prise lui avaient été donnés par sa mère peu avant son interpellation. Aux débats d’appel, il relève qu’il n’y a pas d’images vidéo montrant qu’il avait pris les produits en question chez [...] et qu’aucun employé de cet établissement ne l’avait vu cacher la marchandise sous sa veste. Interrogé en première instance sur le fait de savoir pourquoi il n’avait pas simplement remis aux personnes qui l’avaient arrêtés chez [...] la quittance de l’achat fait le jour même par sa mère et du sien, du même jour, il a soutenu qu’il ne lui incombait pas de prouver son absence de culpabilité mais que [...] en revanche avait failli à démontrer que l’objet du vol prétendu avait bien été dérobé dans ses étalages. S’il n’y a pas d’images vidéos mettant A.L.________ en cause pour ce vol, il ressort toutefois du dossier (dossier joint J, P. 6/1 et 6/2) que les objets trouvés en possession de l’appelant, au moment de son interpellation, par la sécurité du magasin, à savoir un gel structurant Tecniart L’Oréal, un câble USB Apple et un adaptateur secteur USB Apple, d’une valeur totale de 59 fr. 70, sont tous des produits vendus chez [...] et manquent dans le stock (ibidem). Il ne fait ainsi aucun doute que A.L.________ a dérobé ces objets. Mal fondé, ce grief doit être rejeté.</w:t>
      </w:r>
    </w:p>
    <w:p>
      <w:r>
        <w:rPr>
          <w:b/>
        </w:rPr>
        <w:t>E. 6</w:t>
      </w:r>
    </w:p>
    <w:p>
      <w:r>
        <w:t>consid. 6.1).</w:t>
      </w:r>
    </w:p>
    <w:p>
      <w:r>
        <w:rPr>
          <w:b/>
        </w:rPr>
        <w:t>E. 6.1</w:t>
      </w:r>
    </w:p>
    <w:p>
      <w:r>
        <w:t>L’appelant conteste ensuite la peine privative de liberté de huit mois qui lui a été infligée ainsi que le caractère ferme de cette peine.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- 23 -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6.3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w:t>
      </w:r>
    </w:p>
    <w:p>
      <w:r>
        <w:t>- 24 -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6.4</w:t>
      </w:r>
    </w:p>
    <w:p>
      <w:r>
        <w:t>En l’espèce, force est de constater, avec les premiers juges que le parcours de l’appelant est marqué par de nombreux antécédents et récidives malgré des condamnations, y compris à des peines privatives de liberté. A.L.________ a démontré par la multiplicité de ses infractions s’être installé dans la délinquance. Aujourd’hui encore il persiste à nier l’évidence, démontrant ainsi n’avoir pris aucune conscience de ses responsabilités. Les vols et les escroqueries commises auprès de ses nombreuses victimes l’ont été dans le seul but d’améliorer sans effort son train de vie. A décharge, il faut tenir compte des aveux finalement obtenus ainsi que du fait qu’il semble mieux se comporter depuis 2014. S’agissant du genre de peine, seule une peine privative de liberté entre en ligne de compte, l’inefficacité des peines pécuniaires prononcées précédemment ayant été démontrée. Une peine privative de liberté doit donc être infligée pour des motifs de prévention spéciale. La multiplication des infractions et leur persistance de même que la désinvolture manifestée par l’appelant rendent le pronostic défavorable, même si, comme on l’a dit, A.L.________ semble s’être assagi depuis 2014. La Cour relève que la majeure partie des infractions ont été commises après le jugement de la Cour de cassation pénale vaudoise du 22 juin 2009, le condamnant à une peine privative de liberté de 10 mois. Dès lors, en vertu de l’art. 42 al. 2 CP (cf. consid. 6.3 supra), il faudrait des circonstances particulièrement favorables pour que l’appelant puisse bénéficier du sursis. Ces circonstances ne sont pas réalisées en l’espèce. Au vu de ce qui précède, la peine privative de liberté de huit mois prononcée par les premiers juges est adéquate et correspond aux principes légaux et à la culpabilité du prévenu ; elle sera ferme. Cette</w:t>
      </w:r>
    </w:p>
    <w:p>
      <w:r>
        <w:t>- 25 - peine sera assortie d’une amende de 500 fr. pour réprimer les contraventions commises. La peine privative de liberté de substitution en cas de non-paiement fautif de l’amende sera de 5 jours.</w:t>
      </w:r>
    </w:p>
    <w:p>
      <w:r>
        <w:rPr>
          <w:b/>
        </w:rPr>
        <w:t>E. 7</w:t>
      </w:r>
    </w:p>
    <w:p>
      <w:r>
        <w:t>En conclusion, l’appel doit être rejeté. Vu l’issue de la cause, les frais de la procédure d'appel doivent être mis à la charge de A.L.________ (art. 428 al. 1 CPP). Outre l'émolument, qui se monte à 2’490 fr., (art. 21 al. 1 et 2 TFJP [Tarif des frais judiciaires pénaux du 28 septembre 2010, RSV 312.03.1]), ces frais comprennent l’indemnité allouée au conseil d'office de A.L.________. Une indemnité pour la procédure d’appel d’un montant de 1'502 fr. 80, TVA et débours inclus, sera allouée à Me Benoît Morzier, défenseur de A.L.________. Il faut s’écarter de la liste des opérations produite, laquelle fait état de 10.8 heures de travail d’avocat breveté. C’est excessif au regard de la déclaration d’appel non motivée qui a été déposée et des opérations nécessaires à la préparation des débats d’appel. La Cour allouera une indemnité correspondant à 7 heures de travail d’avocat breveté, au tarif horaire de 180 fr., avec une vacation à 120 fr. et 11 fr. 50 pour les débours, auxquels on ajoute la TVA, par 111 fr. 30. Au vu du sort de l’appel, cette indemnité sera mise à la charge de A.L.________ (art. 428 al. 1 CPP). A.L.________ ne sera tenu de rembourser à l’Etat le montant de l’indemnité en faveur de son conseil d’office que lorsque sa situation financière le permettra (art. 135 al. 4 let. a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