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PE11.019711 vom 24. Februar 2012</w:t>
      </w:r>
    </w:p>
    <w:p>
      <w:r>
        <w:t>VD Tribunal cantonal, 2012-02-24, FR</w:t>
      </w:r>
    </w:p>
    <w:p>
      <w:r>
        <w:rPr>
          <w:b/>
        </w:rPr>
        <w:t xml:space="preserve">Quelle: </w:t>
      </w:r>
      <w:r>
        <w:t>https://mcp.opencaselaw.ch/entscheid/vd_gerichte_PE11.019711</w:t>
      </w:r>
    </w:p>
    <w:p>
      <w:r>
        <w:t>FR: VD_GERICHTE PE11.019711 du 24 février 2012</w:t>
      </w:r>
    </w:p>
    <w:p>
      <w:r>
        <w:t>IT: VD_GERICHTE PE11.019711 del 24 febbraio 2012</w:t>
      </w:r>
    </w:p>
    <w:p>
      <w:pPr>
        <w:pStyle w:val="Heading2"/>
      </w:pPr>
      <w:r>
        <w:t>Erwägungen</w:t>
      </w:r>
    </w:p>
    <w:p>
      <w:r>
        <w:rPr>
          <w:b/>
        </w:rPr>
        <w:t>E. 1</w:t>
      </w:r>
    </w:p>
    <w:p>
      <w:r>
        <w:t>Aux termes de l’art. 393 al. 1 let. c CPP (Code de procédure pénale suisse ; RS 312.0), le recours est recevable contre les décisions du</w:t>
      </w:r>
    </w:p>
    <w:p>
      <w:r>
        <w:t>- 4 -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Une mesure de détention provisoire ou pour des motifs de sûreté n'est compatible avec la liberté personnelle (art. 10 al. 2 Cst. et 5 CEDH) que si elle repose sur une base légale (art. 31 al. 1 et art. 36 al. 1 Cst.), soit en l'espèce l'art. 221 CPP ; elle doit en outre correspondre à un intérêt public et respecter le principe de la proportionnalité (art. 36 al. 2 et</w:t>
      </w:r>
    </w:p>
    <w:p>
      <w:r>
        <w:rPr>
          <w:b/>
        </w:rPr>
        <w:t>E. 3</w:t>
      </w:r>
    </w:p>
    <w:p>
      <w:r>
        <w:t>a) En l’espèce, il résulte du dossier que D.________ aurait été impliqué dans une altercation, qu’il aurait frappé F.________ à l’aide d’un marteau, ce que le prévenu admet, et qu’il aurait tenté de le frapper à la tête au moyen d’une arme blanche, occasionnant ainsi une plaie occipitale superficielle qui a nécessité trois points de suture. Il résulte en outre de l’examen clinique du 2 décembre 2011 (P. 8) que le tableau lésionnel observé chez la victime est compatible et évocateur d’une hétéro- agression. Enfin, le récit de F.________ est dans l’ensemble cohérent et de loin pas incompatible avec les éléments récoltés à ce jour par les enquêteurs, de sorte que rien ne permet de retenir un quelconque parti pris du Procureur, contrairement à ce qu’a soutenu le recourant. Dès lors, force est de constater, à l’instar du Tribunal des mesures de contrainte, qu’il existe à ce stade de l’instruction des présomptions sérieuses de culpabilité à l’encontre de D.________. b) Toujours au stade actuel de l’instruction, il appert que les faits qui sont reprochés au recourant sont susceptibles de déboucher sur sa mise en accusation pour tentative de meurtre (art. 22 et 111 CP), ou à tout le moins pour agression (art. 134 CPP), et pour lésions corporelles simples qualifiées (art. 123 ch. 2 CP). L’arrestation de D.________ étant intervenue le 23 février 2012, la durée de la détention provisoire subie à ce jour est encore largement proportionnée à la peine encourue si les faits sont avérés. c) Le risque de fuite (art. 221 al. 1 let. a CPP) est manifestement réalisé. En effet, le prévenu, ressortissant d’Algérie, est sans aucune forme d’attache avec la Suisse, où il vit sans domicile fixe et en situation irrégulière. Compte tenu de ces éléments et de la peine susceptible d’être prononcée au vu des soupçons qui pèsent sur le</w:t>
      </w:r>
    </w:p>
    <w:p>
      <w:r>
        <w:t>- 8 - recourant, on peut sérieusement craindre que celui-ci tente de se soustraire aux obligations de l’instruction en quittant le territoire helvétique ou à tout le moins en entrant – respectivement en retournant – dans la clandestinité. On ne voit pas en quoi le fait que le recourant a, comme cela résulte de l’extrait de son casier judiciaire suisse, été condamné depuis 2005 à huit reprises, essentiellement pour des vols et des infractions à la législation fédérale sur les étrangers, à des peines privatives de liberté allant jusqu’à 5 mois – la dernière fois le 18 mai 2011 par le Ministère public de l’arrondissement de Lausanne à une peine privative de liberté de cent vingt jours – et qu’il « n’est pas effrayé par le monde carcéral qu’il connaît bien » (recours, p. 3) devrait conduire à nier l’existence d’un risque de fuite. En effet, le recourant encourt cette fois-ci, en raison d’infractions contre la vie et l’intégrité corporelle, une peine sensiblement supérieure à quelques mois de peine privative de liberté si les faits sont avérés. Le fait qu’il n’a pas encore exécuté la peine privative de liberté de cent vingt jours à laquelle il a été condamné le 18 mai 2011 ne fait que confirmer le risque qu’il se soustraie à la procédure pénale et à l’exécution des sanctions prononcées ou risquant d’être prononcées contre lui. Par ailleurs, l’exécution immédiate de cette peine privative de liberté de cent vingt jours ne saurait pallier avec la même efficacité que la détention provisoire le risque de fuite dans la présente procédure. En effet, une fois le prévenu passé en régime d’exécution de peine pour une sanction antérieure, le Ministère public n’aurait aucune maîtrise sur les modalités d’exécution de la peine (semi-détention, libération conditionnelle, etc.) et il n’y aurait aucune garantie que le prévenu soit encore à disposition des autorités pénales dans le cadre de la présente procédure. d) Enfin, on ne voit pas quelle mesure de substitution (art. 237 CPP) serait de nature à prévenir efficacement le risque de fuite, et le recourant n’en propose d’ailleurs concrètement aucune.</w:t>
      </w:r>
    </w:p>
    <w:p>
      <w:r>
        <w:rPr>
          <w:b/>
        </w:rPr>
        <w:t>E. 4</w:t>
      </w:r>
    </w:p>
    <w:p>
      <w:r>
        <w:t>Il résulte de ce qui précède que le recours, manifestement mal fondé, doit être rejeté sans autres échanges d’écritures (art. 390 al. 2 CPP).</w:t>
      </w:r>
    </w:p>
    <w:p>
      <w:r>
        <w:t>- 9 - Les frais de la procédure de recours, constitués en l’espèce de l’émolument d'arrêt, par 880 fr. (art. 20 al. 1 TFJP [tarif des frais judiciaires pénaux;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 six francs). IV. Les frais d’arrêt, par 880 fr. (huit cent huitante francs), ainsi que l’indemnité due au défenseur d’office du recourant, par 486 fr. (quatre cent huitante six francs), sont mis à la charge de ce dernier V. Le remboursement à l’Etat de l’indemnité allouée au chiffre III ci-dessus sera exigible pour autant que la situation économique du recourant se soit améliorée. VI. L’arrêt est exécutoire. Le président : La greffière :</w:t>
      </w:r>
    </w:p>
    <w:p>
      <w:r>
        <w:t>- 10 - Du L'arrêt qui précède, dont la rédaction a été approuvée à huis clos, est notifié, par l'envoi d'une copie complète, à : - Me Patrick Sutter, avocat (pour D.________), - Ministère public central, et communiquée à : - Tribunal des mesures de contrainte, - M. le Procureur de l'arrondissement du Nord vaudois,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