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PE11.019040 vom 13. November 2011</w:t>
      </w:r>
    </w:p>
    <w:p>
      <w:r>
        <w:t>VD Tribunal cantonal, 2011-11-13, FR</w:t>
      </w:r>
    </w:p>
    <w:p>
      <w:r>
        <w:rPr>
          <w:b/>
        </w:rPr>
        <w:t xml:space="preserve">Quelle: </w:t>
      </w:r>
      <w:r>
        <w:t>https://mcp.opencaselaw.ch/entscheid/vd_gerichte_PE11.019040</w:t>
      </w:r>
    </w:p>
    <w:p>
      <w:r>
        <w:t>FR: VD_GERICHTE PE11.019040 du 13 novembre 2011</w:t>
      </w:r>
    </w:p>
    <w:p>
      <w:r>
        <w:t>IT: VD_GERICHTE PE11.019040 del 13 novembre 2011</w:t>
      </w:r>
    </w:p>
    <w:p>
      <w:pPr>
        <w:pStyle w:val="Heading2"/>
      </w:pPr>
      <w:r>
        <w:t>Volltext</w:t>
      </w:r>
    </w:p>
    <w:p>
      <w:r>
        <w:t>TRIBUNAL CANTONAL 397 PE11.019040-JON/CMD CHAMBRE DE S RECO URS PEN ALE __________________________________________ Séance du 19 juillet 2012 __________________ Présidence de M. KRIEGER, président Juges : Mme Epard et M. Abrecht Greffier : M. Addor ***** Art. 221 al. 1 let. a, 222, 228 al. 4, 229 al. 1 et 3, 393 al. 1 let. c CPP Vu l'enquête n° PE11.019040-JON instruite d'office par le Ministère public de l'arrondissement de Lausanne contre H.________ pour infraction grave à la LStup (Loi fédérale sur les stupéfiants; RS 812.121), vu l'ordonnance du 13 novembre 2011, par laquelle le Tribunal des mesures de contrainte a ordonné la détention provisoire de H.________ pour une durée maximale de trois mois, soit jusqu'au 10 février 2012, vu les ordonnances des 15 février et 3 mai 2012, par lesquelles cette juridiction a ordonné la prolongation de la détention provisoire du prévenu pour une durée maximale de trois mois, en dernier lieu jusqu'au 10 août 2012, vu la demande de libération de la détention provisoire présentée le 3 juillet 2012 par H.________, 351</w:t>
      </w:r>
    </w:p>
    <w:p>
      <w:r>
        <w:t>- 2 - vu l'acte du 6 juillet 2012, par lequel le procureur a engagé l'accusation contre le prénommé devant le Tribunal correctionnel de l'arrondissement de Lausanne du chef d'infraction grave à la LStup, vu l'acte du 6 juillet 2012, par lequel le Ministère public a conclu au rejet de la demande de libération de la détention provisoire présentée par le prévenu et requis sa détention pour des motifs de sûreté, vu les déterminations de H.________ du 11 juillet 2012, vu l'ordonnance du 13 juillet 2012, par laquelle le Tribunal des mesures de contrainte a rejeté la demande de libération de la détention provisoire présentée par H.________ et ordonné sa détention pour des motifs de sûreté pour une durée maximale de quatre mois, soit au plus tard jusqu'au 6 novembre 2012, vu le recours interjeté le 16 juillet 2012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w:t>
      </w:r>
    </w:p>
    <w:p>
      <w:r>
        <w:t>- 3 - attendu, en l'espèce, que le recourant est accusé d'avoir reçu livraison de 250 grammes d'héroïne, dont 139 grammes ont été vendus par lui ou son comparse P.________, entre le 5 et le 10 novembre 2011, le solde de 110 grammes ayant été saisi par la police, que l'acte d'accusation retient que le recourant a détenu ou vendu un total de 14 grammes d'héroïne pure, que la mise en accusation du prévenu suppose des soupçons suffisants (cf. art. 324 al. 1 CPP), que la condition préalable à toute détention – les forts soupçons de culpabilité – est donc réalisée (art. 221 al. 1 CPP), que les critiques du recourant relatives aux quantités de drogue écoulées, telles que retenues dans l'acte d'accusation, relèvent pour l'essentiel du fond, qu'en effet, les autorités de recours appelées à se prononcer sur la légalité d'une décision de maintien en détention provisoire n'ont pas à procéder à une pesée complète des éléments à charge et à décharge, ni à apprécier la crédibilité des personnes qui mettent en cause le prévenu, mais doivent uniquement examiner s'il existe des indices sérieux de culpabilité justifiant une telle mesure (ATF 137 IV 122 c. 3.2; ATF 124 I 208 c. 3; ATF 116 Ia 413 c. 3c; TF 1B_423/2010 du 17 janvier 2011 c. 4.1; TF 1B_410/2010 du 23 décembre 2010 c. 4.1; Forster, in: Niggli/Heer/Wiprächtiger (éd.), Basler Kommentar, Schweizerische Strafprozess-ordnung, 2011, n. 3 ad art. 221 CPP, pp. 1459 s.; CREP, 11 juillet 2012/365); attendu que le Tribunal des mesures de contrainte a ordonné la détention pour des motifs de sûreté de H.________ en raison du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w:t>
      </w:r>
    </w:p>
    <w:p>
      <w:r>
        <w:t>- 4 - que, par arrêt du 9 mars 2012, la Chambre des recours pénale a confirmé la décision du Tribunal des mesures de contrainte du 15 février 2012 ordonnant le maintien du recourant en détention provisoire en raison du risque de fuite, que l'on peut renvoyer aux motifs de cet arrêt – procédé admissible en l'occurrence, le recourant n'alléguant pas de circonstances justifiant une nouvelle appréciation de la situation (ATF 123 I 31 c. 2c; ATF 114 Ia 281 c. 4c; TF 1B_149/2010 du 1er juin 2010 c. 1.3, TF 1P.465/2005 du 30 août 2005 c. 5), qu'on rappellera ainsi que le recourant, né en 1993 en Albanie, pays d'où il est originaire, a déclaré être arrivé en Suisse le 5 novembre 2011, que célibataire, étudiant, il demeurait clandestinement à Lausanne lors de son arrestation, qu'il n'a aucune attache avec la Suisse, que, de surcroît, il a exprimé le vœu de regagner l'Albanie, une fois libéré (PV aud. 7, p. 4), que le risque de fuite est donc bien réel; attendu que le recourant invoque une violation du principe de la proportionnalité, que la détention provisoire et la détention pour des motifs de sûreté ne doivent pas durer plus longtemps que la peine privative de liberté prévisible (art. 212 al. 3 CPP), que selon la jurisprudence du Tribunal fédéral, dans l’examen de la proportionnalité de la durée de la détention, il y a lieu de prendre en compte la gravité des infractions faisant l’objet de l’instruction,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l'espèce, le recourant est détenu depuis le 10 novembre 2011, soit depuis huit mois, qu’il est accusé d'infraction grave à la LStup au sens de l'art. 19 al. 1 let. b, c et d, et al. 2 let. a et b LStup,</w:t>
      </w:r>
    </w:p>
    <w:p>
      <w:r>
        <w:t>- 5 - que cette infraction est passible d'un peine privative de liberté d'un an au moins, que le recourant discute les quantités de drogue vendues et écoulées que retient l'acte d'accusation, contestant que le cas grave soit réalisé sous ce rapport (art. 19 al. 2 let. a LStup), qu'il perd toutefois de vue que le cas grave résulte également, toujours selon l'acte d'accusation, de son affiliation à une bande (art. 19 al. 2 let. b LStup), que cette circonstance aggravante ne pouvant pas, a priori, être écartée, le recourant est exposé à une peine privative de liberté d'au moins une année, qu'au surplus, hormis dans l'hypothèse – non réalisée en l'espèce – où l'octroi du sursis s'impose d'emblée avec évidence (Logos, in : Kuhn/Jeanneret (éd.), Commentaire romand, Code de procédure pénale suisse, 2011, n. 24 ad art. 227 CPP et les références citées; TF 1B_79/2012 du 22 février 2012 c. 6; TF 1B_641/2011 du 25 novembre 2011 c. 3.1), le fait que la peine encourue puisse être assortie du sursis, total ou partiel, n'est pas déterminant sous l'angle de la proportionnalité (ATF 133 I 270 c. 3.4.2; ATF 125 I 60 c. 3d, JT 2006 IV 114; TF 1B_482/2011 du 4 octobre 2011 c. 2.1), qu'au vu de ce qui précède, le principe de la proportionnalité, sous l'angle de la durée de la détention avant jugement, demeure respecté, qu'il importe cependant que l'audience de jugement soit fixée à bref délai, qu'enfin, aucune mesure de substitution, au sens de l'art. 237 CPP, n'est propre à pallier le risque de fuite;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w:t>
      </w:r>
    </w:p>
    <w:p>
      <w:r>
        <w:t>- 6 - que le remboursement à l'Etat de l'indemnité allouée au défenseur d'office de H.________ ne sera toutefois exigible que pour autant que la situation économique de ce dernier se soit améliorée (art. 135 al. 4 CPP). Par ces motifs, la Chambre des recours pénale, statuant à huis clos : I. Rejette le recours. II. Confirme l'ordonnance du 13 juillet 2012. III. Fixe à 486 fr. (quatre cent huitante-six francs) l'indemnité allouée au défenseur d'office de H.________. IV. Dit que les frais du présent arrêt, par 660 fr. (six cent soixante francs), ainsi que l’indemnité due au défenseur d’office de H.________, par 486 fr. (quatre cent huitante-six francs), sont mis à la charge de ce dernier. V. Dit que le remboursement à l'Etat de l'indemnité allouée au chiffre III ci-dessus ne sera exigible que pour autant que la situation économique de H.________ se soit améliorée. VI. Déclare le présent arrêt exécutoire. Le président : Le greffier :</w:t>
      </w:r>
    </w:p>
    <w:p>
      <w:r>
        <w:t>- 7 - Du L'arrêt qui précède, dont la rédaction a été approuvée à huis clos, est notifié, par l'envoi d'une copie complète, à : - M. Xavier Rubli, avocat (pour H.________), - Ministère public central, et communiqué à : - Tribunal des mesures de contrainte, - Ministère public de l'arrondissement de Lausanne, -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