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PE11.017655 vom 22. August 2012</w:t>
      </w:r>
    </w:p>
    <w:p>
      <w:r>
        <w:t>VD Tribunal cantonal, 2012-08-22, FR</w:t>
      </w:r>
    </w:p>
    <w:p>
      <w:r>
        <w:rPr>
          <w:b/>
        </w:rPr>
        <w:t xml:space="preserve">Quelle: </w:t>
      </w:r>
      <w:r>
        <w:t>https://mcp.opencaselaw.ch/entscheid/vd_gerichte_PE11.017655</w:t>
      </w:r>
    </w:p>
    <w:p>
      <w:r>
        <w:t>FR: VD_GERICHTE PE11.017655 du 22 août 2012</w:t>
      </w:r>
    </w:p>
    <w:p>
      <w:r>
        <w:t>IT: VD_GERICHTE PE11.017655 del 22 agosto 2012</w:t>
      </w:r>
    </w:p>
    <w:p>
      <w:pPr>
        <w:pStyle w:val="Heading2"/>
      </w:pPr>
      <w:r>
        <w:t>Volltext</w:t>
      </w:r>
    </w:p>
    <w:p>
      <w:r>
        <w:t>TRIBUNAL CANTONAL 484 PE11.017655-BDR CHAMBRE DE S RECO URS PEN ALE __________________________________________ Séance du 22 août 2012 __________________ Présidence de M. KRIEGER, président Juges : MM. Meylan et Abrecht Greffière : Mme Rouiller ***** Art. 220 al. 1 et 2, 221 CPP Vu l'enquête no PE11.017655-BDR, instruite contre U.________ par le Ministère public de l'arrondissement de Lausanne pour lésions corporelles simples, subsidiairement voies de fait, vol en bande et par métier, dommages à la propriété, injure, violation de domicile, violence ou menace contre les autorités et les fonctionnaires, empêchement d'accomplir un acte officiel, incendie intentionnel, subsidiairement incendie intentionnel de peu de gravité, infraction à la LEtr (loi fédérale du 16 décembre 2005 sur les étrangers; RS 142.20), et contravention à la LStup (loi sur les stupéfiants; RS 812.121), vu l'ordonnance de détention provisoire d'U.________ du 19 octobre 2011, prolongée la dernière fois le 9 juillet 2012, vu l'acte du 31 juillet 2012 engageant l'accusation devant le Tribunal correctionnel de l'arrondissement de Lausanne contreU.________, 351</w:t>
      </w:r>
    </w:p>
    <w:p>
      <w:r>
        <w:t>- 2 - vu la requête du Ministère public du même jour tendant à la mise en détention du prévenu pour des motifs de sûreté, vu l'ordonnance de détention pour des motifs de sûreté rendue le 8 août 2012 par le Tribunal des mesures de contrainte, vu le recours interjeté le 21 août 2012 contre cette ordonnance par U.________, qui conclut à son annulation et requiert sa mise en liberté provisoire, assortie, le cas échéant, des garanties et des mesures de contrôle que l'autorité de recours jugera opportunes,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les conditions posées à l'art. 221 al. 1 CPP sont alternatives et non cumulatives (CREP, 11 janvier 2012/6 c. 2), que le fait que l'une d'elles au moins soit réalisée permet de justifier la détention provisoire et la détention pour des motifs de sûreté,</w:t>
      </w:r>
    </w:p>
    <w:p>
      <w:r>
        <w:t>- 3 - qu’il n’appartient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avant jugement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attendu, en l'espèce, qu'en se référant aux procès-verbaux d'audition, l'acte d'accusation retient ce qui suit : - entre le 17 février et le 17 octobre 2011, U.________ a régulièrement consommé de la marijuana, du haschich et de la cocaïne, - entre le 12 septembre et le 17 octobre 2011, il a vécu en Suisse malgré une décision de renvoi prononcée à son encontre le 19 juillet 2011, - à Lausanne, à Pully, à Lutry et à Clarens, dès le 22 septembre 2011, l'intéressé a perpétré quatorze vols ou cambriolages; s'introduisant sur les lieux de ses méfaits, seul ou avec des comparses, par effraction ou par une fenêtre laissée en imposte, il a subtilisé divers appareils de photo, ordinateurs portables, Ipads, Ipods, téléphones portables, porte-monnaie, bouteilles d'alcool, bijoux, et argent liquide, butin en partie retrouvé en sa possession, - les 25 octobre et 22 novembre 2011, à la Prison du Bois- Mermet, le recourant a mis le feu à divers objets se trouvant dans sa cellule et s'en est pris aux agents de détention par morsure, agressions, refus de réintégrer sa cellule après la douche et refus de se laisser menotter,</w:t>
      </w:r>
    </w:p>
    <w:p>
      <w:r>
        <w:t>- 4 - que si on se réfère à l'acte d'accusation qui précède, ainsi qu'aux ordonnances antérieures du Tribunal des mesures de contrainte, la condition préalable à toute détention – les forts soupçons de culpabilité – est réalisée (art. 221 al. 1 et art. 324 al. 1 CPP) dans le cas présent; attendu que le Tribunal des mesures de contrainte a ordonné la détention d'U.________ pour des motifs de sûreté, en raison d'un risque de fuite et de réitération; attendu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au vu des faits reprochés à U.________, de la peine prévisible, de ses antécédents judiciaires et de la situation de ce dernier, – déjà condamné à cinq reprises, sans domicile, en séjour illégal et sans attache avec la Suisse –, le risque qu'il se soustraie aux autorités de poursuite pénale est important et concret, qu'au reste, l'intéressé est selon ses dires décidé à rejoindre, dès sa libération, des connaissances habitant en France (P. 106 p. 5 et recours p. 4), que l'engagement du prévenu, consistant à fournir une adresse en France où il pourra être atteint et se présenter aux autorités à première réquisition, ne suffit pas pour parer efficacement un risque de fuite; qu'aucune mesure de substitution, au sens de l'art. 237 CPP, n'est propre à pallier le risque de fuite; attendu que le recourant se prévaut de sa prise de conscience de la gravité de ses actes et conteste l'existence d'un risque de réitération (recours p. 3 et 4), qu'une détention provisoire fondée sur un tel risque exige que le prévenu ait déjà commis des infractions du même genre que celles qu'il</w:t>
      </w:r>
    </w:p>
    <w:p>
      <w:r>
        <w:t>- 5 - y a sérieusement lieu de redouter (Message du Conseil fédéral relatif à l'unification du droit de la procédure pénale du 21 décembre 2005, FF 2006 pp. 1057ss, spéc. pp. 1210-1211), que le terme infraction du même genre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p. 1028; ATF 137 IV 13, JT 2011 IV 95),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depuis 2009, le prévenu a été condamné à cinq reprises pour vol, qu'il est déféré pour quatorze nouveaux vols et cambriolages, qu'il est sans ressources financières légales et que l'expertise psychiatrique mise en œuvre conclut à l'existence d'un risque élevé de commission de nouvelles infractions (P. 106, p. 14), que le risque de réitération est donc patent; attendu que le recourant invoque encore une violation du principe de la proportionnalité, arguant que la durée de sa détention jusqu'à son recours, voire jusqu'à la date du jugement, serait excessive au vu de la peine qu'il pourrait encourir,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w:t>
      </w:r>
    </w:p>
    <w:p>
      <w:r>
        <w:t>- 6 - de liberté à laquelle il faut s’attendre concrètement en cas de condamnation (TF 1B_411/2011 du 31 août 2011 c. 4.1; ATF 133 I 168 c. 4.1; ATF 132 I 21 c. 4.1), qu'en l'espèce, incarcéré depuis le 17 octobre 2011, détention provisoire maintenue à ce jour, U.________ est détenu depuis plus de dix mois, qu’il est prévenu de lésions corporelles simples, subsidiairement voies de fait, vol en bande et par métier, dommages à la propriété, injure, violation de domicile, violence ou menace contre les autorités et les fonctionnaires, empêchement d'accomplir un acte officiel, incendie intentionnel, subsidiairement incendie intentionnel de peu de gravité, infraction à la LEtr et contravention à la LStup, que l'intéressé minimise tant les actes incriminés que son passé judiciaire (recours p. 3), que toutefois l'acte d'accusation retient notamment le vol en bande (art. 139 al. 3 CP), que dans ces circonstances aggravantes, le recourant est exposé à une peine pécuniaire de 180 jours-amende au moins, qu'au demeurant, si l'on tient compte des autres charges retenues contre lui – notamment de l'infraction de violence ou menace contre les autorités et les fonctionnaires –, l'intéressé encourt manifestement une peine privative de liberté d'une durée supérieure à une année, qu'au surplus, hormis dans l'hypothèse – non réalisée en l'espèce – où l'octroi du sursis s'imposerait d'emblée avec évidence (Logos, in : Kuhn/Jeanneret (éd.), Commentaire romand, Code de procédure pénale suisse, 2011, n. 24 ad art. 227 CPP et les références citées; TF 1B_79/2012 du 22 février 2012 c. 6; TF 1B_641/2011 du 25 novembre 2011 c. 3.1), le fait que la peine encourue puisse être assortie du sursis, total ou partiel, n'est pas déterminant sous l'angle de la proportionnalité (ATF 133 I 270 c. 3.4.2; ATF 125 I 60 c. 3d, JT 2006 IV 114; TF 1B_482/2011 du 4 octobre 2011 c. 2.1),</w:t>
      </w:r>
    </w:p>
    <w:p>
      <w:r>
        <w:t>- 7 - qu'au vu de ce qui précède, le principe de la proportionnalité, sous l'angle de la durée de la détention avant jugement, demeure respecté,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d'U.________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TVA incluse, l'indemnité due au défenseur d'office d'U.________ IV. Met les frais du présent arrêt, par 770 fr. (sept cent septante francs), ainsi que l'indemnité due au défenseur d'U.________, par 388 fr. 80 (trois cent huitante-huit francs et huitante centimes) à la charge de ce dernier.</w:t>
      </w:r>
    </w:p>
    <w:p>
      <w:r>
        <w:t>- 8 - V. Dit que le remboursement à l’Etat de l’indemnité allouée au chiffre III ci-dessus sera exigible pour autant que la situation économique d' U.________ se soit améliorée. VI. Déclare le présent arrêt exécutoire. Le président : La greffière : Du L'arrêt qui précède, dont la rédaction a été approuvée à huis clos, est notifié, par l'envoi d'une copie complète, à : - Me Nicole Diserens (pour U.________), - Ministère public central, et communiqué à : - M. le Président du Tribunal des mesures de contrainte, - M. le Procureur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