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PE11.017452 vom 15. Oktober 2011</w:t>
      </w:r>
    </w:p>
    <w:p>
      <w:r>
        <w:t>VD Tribunal cantonal, 2011-10-15, FR</w:t>
      </w:r>
    </w:p>
    <w:p>
      <w:r>
        <w:rPr>
          <w:b/>
        </w:rPr>
        <w:t xml:space="preserve">Quelle: </w:t>
      </w:r>
      <w:r>
        <w:t>https://mcp.opencaselaw.ch/entscheid/vd_gerichte_PE11.017452</w:t>
      </w:r>
    </w:p>
    <w:p>
      <w:r>
        <w:t>FR: VD_GERICHTE PE11.017452 du 15 octobre 2011</w:t>
      </w:r>
    </w:p>
    <w:p>
      <w:r>
        <w:t>IT: VD_GERICHTE PE11.017452 del 15 ottobre 2011</w:t>
      </w:r>
    </w:p>
    <w:p>
      <w:pPr>
        <w:pStyle w:val="Heading2"/>
      </w:pPr>
      <w:r>
        <w:t>Volltext</w:t>
      </w:r>
    </w:p>
    <w:p>
      <w:r>
        <w:t>TRIBUNAL CANTONAL XX PE11.017452-GRVGRV CHAMBRE DE S RECO URS PEN ALE __________________________________________ Séance du 28 octobre 2011 ______________________ Présidence de M. KRIEGER, président Juges : Mme Epard et M. Meylan Greffière : Mme Brabis Lehmann ***** Art. 221 al. 1 let. a et b, 393 ss CPP Vu l’enquête n° PE11.017452-GRV instruite par le Procureur de l’arrondissement de La Côte contre Y.________ pour vol, dommages à la propriété, infractions à la LCR (Loi fédérale du 19 décembre 1958 sur la circulation routière, RS 741.01) et à la LEtr (Loi fédérale du 16 décembre 2005 sur les étrangers, RS 142.20), d'office et sur diverses plaintes, vu l’appréhension du prénommé en date du 14 octobre 2011, vu le procès-verbal d’audition d’arrestation du prévenu du 14 octobre 2011, vu la proposition du 14 octobre 2011 du Procureur de l’arrondissement de La Côte au Tribunal des mesures de contrainte tendant à ordonner la détention provisoire d'Y.________, 351</w:t>
      </w:r>
    </w:p>
    <w:p>
      <w:r>
        <w:t>- 2 - vu l’ordonnance du 15 octobre 2011, par laquelle le Tribunal des mesures de contrainte a ordonné la détention provisoire d'Y.________ (I), fixé la durée maximale de la détention provisoire à trois mois, soit au plus tard jusqu’au 14 janvier 2012 (lI) et dit que les frais de la décision suivaient le sort de la cause (III), vu le recours déposé par l’intéressé le 25 octobre 2011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qu'Y.________ conteste l’ordonnance du Tribunal des mesures de contrainte, concluant à son annulation et à sa libération immédiate, que le recourant allègue que les risques de fuite, de collusion et de récidive ne sont pas réalisés;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w:t>
      </w:r>
    </w:p>
    <w:p>
      <w:r>
        <w:t>- 3 - culpabilité d’avoir commis un crime ou un délit à l’égard de l’auteur présumé (TF 1B_182/2011 du 5 mai 2011 c. 3.1 ; Schmocker, in: Kuhn/Jeanneret (éd.), Commentaire romand, Code de procédure pénale suisse, Bâle 2011, nn. 7ss ad art. 221 CPP, pp. 1024 ss), qu’en l’espèce, Y.________ est soupçonné d’avoir pénétré par effraction dans deux magasins et d'y avoir dérobé divers articles dans la nuit du 14 octobre 2011, à Nyon, qu'il est également soupçonné d'avoir volé un scooter entre le 1er et le 13 octobre 2011, à Versoix dans le canton de Genève, pour se rendre sur les lieux des cambriolages précités, qu'il a, en outre, à l'aide dudit scooter, tenté d'échapper à la police qui l'avait pris en chasse à la suite des vols précités en commettant diverses infractions à la LCR, qu'il est également fait grief au prévenu de séjourner en Suisse alors même qu'il fait l'objet d'une mesure d'interdiction d'entrer valable, qu’il ressort du dossier qu’il existe des indices concrets que le prévenu ait commis les infractions qui lui sont reprochées, qu’en effet, entendu par la police et par le procureur le 14 octobre 2011, Y.________ a admis la totalité des faits qui lui sont reprochés, que compte tenu de l’ensemble des éléments figurant au dossier, il existe contre Y.________ des présomptions de culpabilité suffisantes; attendu que l’ordonnance entreprise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w:t>
      </w:r>
    </w:p>
    <w:p>
      <w:r>
        <w:t>- 4 - qu’en l’espèce, le recourant est un ressortissant du Maroc en situation illégale en Suisse depuis de nombreuses années, puisqu'il l'objet d'une mesure d'interdiction d'entrer en Suisse, qu'il a déclaré vivre chez une amie à Genève depuis près d'un an avec laquelle il a un enfant, que toutefois, l'adresse figurant sur son extrait de casier judiciaire suisse est à Lugano, qu'aucune adresse exacte ne lui est donc connue, qu'en outre, le prévenu a tenté d'échapper à la police au guidon du scooter volé en prenant des risques qui ont conduit à un accident de la circulation, démontrant ainsi une volonté de se soustraire aux autorités de poursuites pénales, qu'il convient finalement de mentionner qu'il ressort du casier judiciaire d'Y.________ que ce dernier est connu sous neuf identités différentes, qu’en dépit des arguments du recourant, force est de constater que, compte tenu de la gravité des charges et de la peine privative de liberté à laquelle il s’expose, il est à craindre que le recourant ne tente de prendre la fuite pour se soustraire aux poursuites engagées contre lui, que le risque de fuite fait ainsi obstacle à la relaxation du recourant; attendu que la décision attaquée se fonde également sur le risque de compromettre la recherche de la vérité en exerçant une influence sur des personnes ou en altérant des moyens de preuves, en d’autres termes sur un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w:t>
      </w:r>
    </w:p>
    <w:p>
      <w:r>
        <w:t>- 5 - qu’en l’espèce, l’instruction ouverte contre le prévenu vient de débuter, ce dernier ayant été appréhendé le 14 octobre 2011, que de nombreuses recherches doivent encore être menées par le procureur quant à l’ampleur de l’activité délictueuse du prévenu, qu’en particulier, Y.________ a été trouvé porteur d'objets sans rapport avec les faits qu'il admis, notamment d'un trousseau de clés, qu'en outre, d'autres cas ayant fait l'objet d'un mode opératoire similaire que celui utilisé par le prévenu doivent faire l'objet de contrôle plus approfondis par la police, que le résultat de ces investigations pourrait être compromis si le recourant venait à être remis en liberté, ce dernier pouvant faire disparaître ou altérer des preuves, que la recherche de la vérité fait également obstacle, en l’état, à la relaxation du recourant; attendu que l'ordonnance entreprise se fonde finalement sur le risque de compromettre sérieusement la sécurité d'autrui, en d'autres termes sur le risque de récidive (art. 221 al. 1 let. c CPP), que selon la jurisprudence, le maintien en détention provisoire se justifie s'il y a lieu de présumer, avec une certaine vraisemblance, qu'il existe un danger de récidive (TF 1B_38/2011 du 17 février 2011 c. 4.1), que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(ATF 137 IV 13; TF 1B_182/2011 du 5 mai 2011 c. 4.1; TF 1B_133/2011 du 12 avril 2011 c. 4), qu'en l'espèce, Y.________ a été condamné à trois reprises pour vol, recel, violation de domicile et dommages à la propriété à des peines variant entre 90 et 180 jours de peine privative de liberté, que, toutefois, les infractions précédemment commises ne sont pas forcément d'une gravité suffisante pour justifier un risque de récidive,</w:t>
      </w:r>
    </w:p>
    <w:p>
      <w:r>
        <w:t>- 6 - que la détention provisoire étant justifiée par un risque concret de fuite et de collusion, il n'est pas nécessaire de trancher en l'espèce la question du risque de récidive, qu'en effet, les conditions fixées à l'art. 221 al. 1 let. a à c CPP sont des conditions alternatives et, partant, la réalisation d'une seule cause suffit (Schmocker, op, cit., n. 11 ad art. 221 CPP; Piquerez, Traité de procédure pénale suisse, 2ème éd., Zurich 2006, n. 841, p. 535);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Y.________ est placé en détention provisoire depuis le 14 octobre 2011, soit depuis 15 jours, qu’accusé de vol, de dommages à la propriété, d'infractions à la LCR et à la LEtr, le prévenu encourt une peine privative de liberté d’une durée supérieure à la détention subie jusqu’à maintenant si les faits sont avérés, que, par conséquent, le principe de proportionnalité des intérêts en présence demeure respecté, compte tenu de la gravité de l’infraction reprochée au recourant et de la durée de la détention préventive déjà subie;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que le remboursement à l’Etat de l’indemnité allouée au défenseur d’office d'Y.________ ne sera toutefois exigible que pour autant</w:t>
      </w:r>
    </w:p>
    <w:p>
      <w:r>
        <w:t>- 7 -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d'Y.________. IV. Dit que les frais du présent arrêt, par 770 fr. (sept cent septante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d'Y.________ se soit améliorée. VI. Déclare le présent arrêt exécutoire. Le président : La greffière :</w:t>
      </w:r>
    </w:p>
    <w:p>
      <w:r>
        <w:t>- 8 - Du L’arrêt qui précède, dont la rédaction a été approuvée à huis clos, est notifié, par l'envoi d'une copie complète, à : - Mme Françoise Trümpy-Waridel, avocate (pour Y.________), - Ministère public central, et communiqué à : -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