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PE11.016056 vom 30. Oktober 2012</w:t>
      </w:r>
    </w:p>
    <w:p>
      <w:r>
        <w:t>VD Tribunal cantonal, 2012-10-30, FR</w:t>
      </w:r>
    </w:p>
    <w:p>
      <w:r>
        <w:rPr>
          <w:b/>
        </w:rPr>
        <w:t xml:space="preserve">Quelle: </w:t>
      </w:r>
      <w:r>
        <w:t>https://mcp.opencaselaw.ch/entscheid/vd_gerichte_PE11.016056</w:t>
      </w:r>
    </w:p>
    <w:p>
      <w:r>
        <w:t>FR: VD_GERICHTE PE11.016056 du 30 octobre 2012</w:t>
      </w:r>
    </w:p>
    <w:p>
      <w:r>
        <w:t>IT: VD_GERICHTE PE11.016056 del 30 ottobre 2012</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1.1</w:t>
      </w:r>
    </w:p>
    <w:p>
      <w:r>
        <w:t>Interjeté dans les forme et délais légaux (cf. art. 399 CPP) contre le jugement d’un tribunal de première instance ayant clos la procédure (art. 398 al. 1 CPP), l’appel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w:t>
      </w:r>
    </w:p>
    <w:p>
      <w:r>
        <w:rPr>
          <w:b/>
        </w:rPr>
        <w:t>E. 2.1</w:t>
      </w:r>
    </w:p>
    <w:p>
      <w:r>
        <w:t>L’appelant invoque tout d’abord une constatation erronée des faits en ce sens que le tribunal de première instance aurait omis de soulever les nombreuses divergences qui figurent dans les expertises psychiatriques réalisées dans le cadre de la procédure et qu’il aurait fait abstraction de l’expertise psychiatrique du 21 décembre 2011 ordonnée dans le cadre de la procédure civile mais versée au dossier pénal.</w:t>
      </w:r>
    </w:p>
    <w:p>
      <w:r>
        <w:t>- 22 -</w:t>
      </w:r>
    </w:p>
    <w:p>
      <w:r>
        <w:rPr>
          <w:b/>
        </w:rPr>
        <w:t>E. 2.1.1</w:t>
      </w:r>
    </w:p>
    <w:p>
      <w:r>
        <w:t>Selon l'art. 10 CPP, le tribunal apprécie librement les preuves recueillies selon l'intime conviction qu'il retire de l'ensemble de la procédure (al. 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2.1.2</w:t>
      </w:r>
    </w:p>
    <w:p>
      <w:r>
        <w:t>Il est exact que le jugement de première instance n’évoque pas l’expertise civile du 21 décembre 2011, alors même que celle-ci figure au dossier pénal. Toutefois, on ne saurait déduire de ce seul faire que le jugement est lacunaire. En effet, les juges de première instance disposaient de deux expertises psychiatriques, dont l’une avec un complément, ordonnées dans et pour la procédure pénale. Ils avaient donc</w:t>
      </w:r>
    </w:p>
    <w:p>
      <w:r>
        <w:t>- 23 - suffisamment d’informations sans avoir à prendre encore en considération une troisième expertise, d’ailleurs ordonnée et exécutée dans un contexte différent, soit celui d’une procédure d’enquête en vue de prononcer une interdiction civile. A cet égard, on rappellera que la capacité civile – à savoir la capacité à gérer ses affaires sans compromettre ses intérêts civils – et la responsabilité pénale ne sont pas des notions juridiques identiques et qu’il n’est pas contradictoire qu’un individu puisse se voir reconnaître une certaine responsabilité pénale, alors qu’un tuteur est préconisé sur le plan civil. Par surabondance, s’agissant des prétendues divergences qui existeraient entre les conclusions des expertises pénales, on relèvera d’abord que celles-ci sont minimes en ce sens que les expertises concluent toutes deux au même diagnostic et à une diminution moyenne de la responsabilité de l’auteur (P. 4, p. 9 et P. 62, p. 8). Dans les deux cas, les experts ont exposé que X.________ conservait – à tout le moins partiellement – la faculté d’apprécier le caractère illicite de son acte, mais que sa capacité à se déterminer d’après cette appréciation était restreinte par sa dépendance et sa maladie psychique. C’est également en raison de ces deux derniers éléments que, dans le cadre de la procédure civile, les experts ont constaté que l’expertisé était incapable de prendre des décisions seul et qu’ils ont préconisé la nomination d’un tuteur, tout en retenant d’ailleurs une capacité de discernement altérée et non pas une incapacité totale (P. 75, p. 9). Ces conclusions ne sont donc en soi pas contradictoires. Enfin, rappelons que, s’agissant des légères différences qui existent entre les deux expertises pénales – notamment en ce qui concerne l’évaluation du risque de récidive et de la dangerosité – celles-ci sont à mettre en relation avec le fait que les deux expertises ont été ordonnées dans des contextes sensiblement différents, puisque la seconde est postérieure aux événements du 25 septembre 2011 et que ces événements n’ont évidemment pas été sans incidence sur l’appréciation des experts.</w:t>
      </w:r>
    </w:p>
    <w:p>
      <w:r>
        <w:t>- 24 - En définitive, il n’apparaît pas que le tribunal ait fait preuve d’arbitraire ou d’appréciation lacunaire des preuves et ce premier moyen de l’appelant doit donc être écarté.</w:t>
      </w:r>
    </w:p>
    <w:p>
      <w:r>
        <w:rPr>
          <w:b/>
        </w:rPr>
        <w:t>E. 2.2</w:t>
      </w:r>
    </w:p>
    <w:p>
      <w:r>
        <w:t>L’appelant a requis la mise en œuvre d’une nouvelle expertise aux motifs des prétendues divergences et du fait que les trois expertises ont été établies par les mêmes médecins de la Fondation de Nant, fondation dans laquelle il a au surplus été hospitalisé à plusieurs reprises. Comme déjà dit, les expertises ne sont pas contradictoires et la Cour est suffisamment renseignée pour évaluer la responsabilité pénale de X.________. Concernant les griefs liés à l’identité des experts, il y a lieu de relever qu’il appartenait à X.________ de les faire valoir en temps utile, à savoir dans le délai de récusation des experts. Cette requête est donc tardive et manifestement mal fondée. Elle doit donc être écartée.</w:t>
      </w:r>
    </w:p>
    <w:p>
      <w:r>
        <w:rPr>
          <w:b/>
        </w:rPr>
        <w:t>E. 2.3</w:t>
      </w:r>
    </w:p>
    <w:p>
      <w:r>
        <w:t>L’appelant fait ensuite grief aux premiers juges de s’être livrés à une mauvaise appréciation de son état mental et de sa responsabilité pénale en concluant, à tort selon lui, à une responsabilité pénale moyennement diminuée. Il plaide l’irresponsabilité.</w:t>
      </w:r>
    </w:p>
    <w:p>
      <w:r>
        <w:rPr>
          <w:b/>
        </w:rPr>
        <w:t>E. 2.3.1</w:t>
      </w:r>
    </w:p>
    <w:p>
      <w:r>
        <w:t>Aux termes de l’art. 19 CP, l’auteur n’est pas punissable si, au moment d’agir, il ne possédait pas la faculté d’apprécier le caractère illicite de son acte ou de se déterminer d’après cette appréciation (al. 1) ; le juge atténue la peine si, au moment d’agir, l’auteur ne possédait que partiellement la faculté d’apprécier le caractère illicite de son acte ou de se déterminer d’après cette appréciation (al. 2).</w:t>
      </w:r>
    </w:p>
    <w:p>
      <w:r>
        <w:rPr>
          <w:b/>
        </w:rPr>
        <w:t>E. 2.3.2</w:t>
      </w:r>
    </w:p>
    <w:p>
      <w:r>
        <w:t>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 1a p. 4; 102 IV 225 c. 7b p. 226).</w:t>
      </w:r>
    </w:p>
    <w:p>
      <w:r>
        <w:t>- 25 - Celui-ci peut notamment tenir compte, autrement que l'expert, de la nature des actes incriminés pour mesurer l'ampleur de la diminution de la responsabilité.</w:t>
      </w:r>
    </w:p>
    <w:p>
      <w:r>
        <w:rPr>
          <w:b/>
        </w:rPr>
        <w:t>E. 2.3.3</w:t>
      </w:r>
    </w:p>
    <w:p>
      <w:r>
        <w:t>En l’espèce, il n’existe aucune raison de s’écarter des conclusions des expertises psychiatriques qui, comme déjà dit, concluent toutes deux à une responsabilité moyennement diminuée en ce sens que l’appelant conservait – à tout le moins partiellement – la faculté d’apprécier le caractère illicite de son acte et que sa capacité à se déterminer d’après cette appréciation était restreinte par sa dépendance et sa maladie psychique. Dans leur raisonnement, les experts ont donc à la fois tenu compte de la maladie psychique de l’auteur et de ses problèmes de dépendance. Ils ont d’ailleurs exclu l’irresponsabilité, considérant que l’intéressé ne se trouvait pas dans un état de décompensation psychotique aigu au moment des faits (P. 62, p. 8). Au vu de ces conclusions, c’est à juste titre que les premiers juges ont retenu une responsabilité restreinte de X.________ et ce grief doit donc également être écarté. L’influence de la diminution de responsabilité sur la peine sera examinée ci-après.</w:t>
      </w:r>
    </w:p>
    <w:p>
      <w:r>
        <w:rPr>
          <w:b/>
        </w:rPr>
        <w:t>E. 3</w:t>
      </w:r>
    </w:p>
    <w:p>
      <w:r>
        <w:t>L'appelant reproche ensuite au tribunal d’avoir retenu à sa charge l’infraction de tentative de meurtre.</w:t>
      </w:r>
    </w:p>
    <w:p>
      <w:r>
        <w:rPr>
          <w:b/>
        </w:rPr>
        <w:t>E. 3.1</w:t>
      </w:r>
    </w:p>
    <w:p>
      <w:r>
        <w:t>Selon la jurisprudence, il y a tentative lorsque l'auteur a réalisé tous les éléments subjectifs de l'infraction et manifesté sa décision de la commettre, alors que les éléments objectifs font, en tout ou en partie, défaut (ATF 131 IV 100 c. 7.2.1; ATF 128 IV 18 c. 3b; ATF 122 IV 246 c. 3a). Il y a donc tentative de meurtre, lorsque l'auteur, agissant intentionnellement, au moins par dol éventuel, commence l'exécution de cette infraction, manifestant ainsi sa décision de la commettre, sans que le résultat ne se produise. Agit par dol éventuel, celui qui envisage le résultat dommageable, mais agit néanmoins, manifestant par-là qu'il s'en</w:t>
      </w:r>
    </w:p>
    <w:p>
      <w:r>
        <w:t>- 26 - accommode pour le cas où il se produirait, même s'il ne le souhaite pas (ATF 135 IV 152 c. 2.3.2; 130 IV 58 c. 8.2 et les arrêts cités). La détermination de ce que l'auteur a su, envisagé, voulu ou accepté relève de l'établissement des faits (ATF 135 IV 152 c. 2.3.2; ATF 132 IV 112 c. 3.1; ATF 129 IV 271 c. 2.5 et les arrêts cités).</w:t>
      </w:r>
    </w:p>
    <w:p>
      <w:r>
        <w:rPr>
          <w:b/>
        </w:rPr>
        <w:t>E. 3.2</w:t>
      </w:r>
    </w:p>
    <w:p>
      <w:r>
        <w:t>Les premiers juges ont acquis la conviction que, concernant les faits du 25 septembre 2011, la version de X.________ selon laquelle il n’avait pas l’intention de tuer sa victime mais seulement de lui faire peur, voire de la blesser, n’était pas crédible et que l’intéressé s’était bel et bien introduit dans l’appartement dans l’objectif de supprimer celle qu’il désignait comme étant à l’origine de toutes ses difficultés.</w:t>
      </w:r>
    </w:p>
    <w:p>
      <w:r>
        <w:rPr>
          <w:b/>
        </w:rPr>
        <w:t>E. 3.3</w:t>
      </w:r>
    </w:p>
    <w:p>
      <w:r>
        <w:t>L’appelant conteste la réalisation de l’élément subjectif de l’infraction de tentative de meurtre. Il considère en particulier que les premiers juges ont abusé de leur pouvoir d’appréciation en retenant qu’il avait voulu, à tout le moins par dol éventuel, attenter à la vie de sa femme. A cet égard, il soutient que le fait de se munir d’un couteau démontre tout au plus la volonté de blesser, mais ne permet pas d’en déduire automatiquement une intention de tuer. Il reproche également aux premiers juges d’avoir fondé leur appréciation de sa volonté homicide sur le fait qu’il se serait muni d’une arme et d’un gant avant de pénétrer chez sa femme, ce qu’il conteste. Enfin, il reproche aux premiers juges d’avoir abusivement considéré que la manière dont il avait frappé sa victime démontrait sa volonté homicide. En définitive, se référant à ses déclarations constantes en la matière, il continue à soutenir que son intention se limitait à blesser sa femme et non à la tuer. Il prétend aussi qu’il voulait parler à son épouse.</w:t>
      </w:r>
    </w:p>
    <w:p>
      <w:r>
        <w:rPr>
          <w:b/>
        </w:rPr>
        <w:t>E. 3.3.1</w:t>
      </w:r>
    </w:p>
    <w:p>
      <w:r>
        <w:t>Concernant tout d’abord le gant en plastique, la Cour considère que l’on ne peut accorder aucune crédibilité à la version de l’appelant selon laquelle, alors qu’il pénétrait, en pleine nuit, dans l’appartement de son épouse, sans sonner, ni manifester verbalement sa présence, soit disant pour avoir une conversation avec cette dernière, il</w:t>
      </w:r>
    </w:p>
    <w:p>
      <w:r>
        <w:t>- 27 - aurait décidé d’enfiler un gant en plastique qui se trouvait justement dans l’appartement. Bien que l’on ne puisse pas exactement déterminer si l’appelant a enfilé ce gant avant de quitter sa chambre ou en arrivant dans l’appartement, on doit à tout le moins admettre qu’il avait forcément, dès ce moment, des intentions homicides à l’égard de son épouse, le port d’un gant ne pouvant s’expliquer que par la volonté de dissimuler d’éventuelles traces. Concernant ensuite l’arme, la Cour relève que l’appelant a lui- même admis avoir pris un couteau de cuisine à l’hôtel avant de se rendre chez son épouse (PV aud. 4, p. 3). A l’instar du tribunal, la Cour retiendra que l’arme qui a servi à blesser C.________ est bien celle qui a été retrouvée au pied du lit de la victime (P. 50, photographie 15). En effet, le prévenu a admis avoir lâché le couteau dans l’appartement avant de s’enfuir (PV aud. 4, ligne 91), or, il s’agit de la seule arme retrouvée sur les lieux du crime et, qui plus est, tachée du sang de la victime. L’absence de trace ADN sur l’arme n’est pas significative, dès lors que X.________ portait un gant au moment des faits. Pour le surplus, on peut s’étonner, avec l’appelant, du fait que la police ait trouvé, posés sur le lit, un t-shirt et un morceau de gant en plastique, lors de la seconde perquisition, alors même qu’il est impossible, de l’avis même de l’inspecteur en charge de l’enquête, que ces objets n’aient pas été trouvés lors de la première fouille. Toutefois, on doit admettre que cet élément n’est pas déterminant dès lors que le prévenu a bien admis être l’auteur des coups administrés à son épouse et avoir porté un gant au moment des faits. Enfin, la défense fait valoir que les coups portés et la façon de les donner – à savoir qu’ils ont été infligés essentiellement au niveau de la tête et de haut en bas – ont touché la victime à bonne distance d’organes vitaux, sous réserve éventuellement de la gorge, mais qui n’a pas été touchée. L’appelant soutient donc qu’il cherchait à provoquer des lésions superficielles, style coupures ou estafilades, plutôt qu’à administrer des lésions perforantes, par définition plus dangereuses. Toutefois, il est</w:t>
      </w:r>
    </w:p>
    <w:p>
      <w:r>
        <w:t>- 28 - démontré que X.________ a frappé à réitérées reprises et avec acharnement la victime à la tête avec un couteau dont la pointe était dirigée vers le bas. Le caractère superficiel des blessures, dont l’une est proche d’une orbite, est dû à la position debout de la victime, la lame glissant sur le crâne, et non à la volonté de l’auteur de n’infliger que des « griffures » à sa victime. Enfin, l’impact des coups, déjà impressionnant, a été réduit par les gestes de défense de la victime qui s’est protégé le visage avec les mains. X.________ a donc frappé avec force, ce qui est corroboré par le fait que la lame du couteau était cassée.</w:t>
      </w:r>
    </w:p>
    <w:p>
      <w:r>
        <w:rPr>
          <w:b/>
        </w:rPr>
        <w:t>E. 3.4</w:t>
      </w:r>
    </w:p>
    <w:p>
      <w:r>
        <w:t>En définitive, l’argumentation des premiers juges est convaincante en ce sens que l’intention d’homicide retenue à l’égard de X.________ ne repose pas uniquement sur le fait que celui-ci s’était muni d’une arme, mais également sur les autres éléments probatoires. On relèvera en particulier que le prévenu ruminait un important ressentiment vis-à-vis de son épouse, qui, estimait-il, risquait de le spolier de ses légitimes attentes successorales. Il s’est introduit sans droit – grâce à une clé qu’il avait préalablement subtilisée –, au milieu de la nuit, dans l’appartement de celle qu’il considérait comme étant à l’origine de tous ses problèmes. Il n’avait manifestement pas l’intention d’avoir une discussion avec la victime au vu de l’heure tardive et inapproprié à laquelle il s’est présenté dans l’appartement et du fait qu’il n’a ni sonné avant d’entrer, ni allumé la lumière en entrant dans l’appartement, ni manifesté verbalement sa présence. De surcroît, il s’était muni d’une arme et portait un gant – afin de dissimuler les éventuelles traces de sa présence sur ce qu’il savait être les lieux d’un futur crime – et il a frappé C.________ à réitérées reprises, avec force, sur la tête et le haut du corps de sa victime qui se trouvait debout devant lui – puisqu’elle s’était levée en entendant du bruit – avec des gestes amples de haut en bas qui ne pouvaient en aucun cas avoir pour but de « griffer » sa victime. Enfin, C.________ ne semble devoir son salut qu’au fait que le prévenu a pris la fuite lorsque les enfants du couple ont commencé à crier. Au vu du déroulement des événements, la Cour a acquis la conviction que l’appelant avait l’intention de tuer C.________, qu’il s’y était</w:t>
      </w:r>
    </w:p>
    <w:p>
      <w:r>
        <w:t>- 29 - préparé et qu’il a asséné ses coups avec conscience et volonté d’attenter à la vie de son épouse (dol direct). X.________ doit donc être reconnu coupable de tentative de meurtre. Il n'y a par conséquent pas lieu d'entrer en matière sur l'infraction subsidiaire de lésions corporelles, en concours imparfait. Il n’y a pas lieu non plus d’examiner plus avant les autres infractions dont s’est rendu coupable l’appelant, dès lors qu’elles ne sont pas contestées.</w:t>
      </w:r>
    </w:p>
    <w:p>
      <w:r>
        <w:rPr>
          <w:b/>
        </w:rPr>
        <w:t>E. 4</w:t>
      </w:r>
    </w:p>
    <w:p>
      <w:r>
        <w:t>L’appelant estime que la peine est excessivement sévère au regard de l’art. 19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t>- 30 -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(TF 6B_85/2013 précité c. 3.1, ATF 134 IV 17 c. 2.1; ATF 129 IV 6 c. 6.1 et les références citées).</w:t>
      </w:r>
    </w:p>
    <w:p>
      <w:r>
        <w:rPr>
          <w:b/>
        </w:rPr>
        <w:t>E. 4.2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l’ATF 136 IV 55. 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6B_356/2012 du 1er octobre 2012 c. 3.2; ATF 136 IV 55 c. 5.5).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w:t>
      </w:r>
    </w:p>
    <w:p>
      <w:r>
        <w:t>- 31 -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 3.2.1; ATF 136 IV 55 c. 5.6). En bref, le juge doit procéder comme suit en cas de diminution de la responsabilité pénale: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(TF 6B_356/2012 précité c. 3.2.2; ATF 136 IV 55 c. 5.7).</w:t>
      </w:r>
    </w:p>
    <w:p>
      <w:r>
        <w:rPr>
          <w:b/>
        </w:rPr>
        <w:t>E. 4.3</w:t>
      </w:r>
    </w:p>
    <w:p>
      <w:r>
        <w:t>En l’espèce, s’agissant de la gravité objective des actes commis, X.________ s’est rendu coupable de tentative de meurtre, de lésions corporelles simples qualifiées, de voies de fait qualifiés, de mise en danger de la vie d’autrui, de menaces qualifiées et de violation de domicile. Les faits qui lui sont reprochés sont graves. En effet, depuis le début de l’année 2011, ses actes se sont progressivement aggravés, pour finalement attenter au bien juridique le plus précieux, la vie. La faute objective est donc lourde. Sur la base des expertises psychiatriques, on retiendra que, pour l’ensemble des faits reprochés, l’appelant présentait une diminution moyenne de sa responsabilité pénale en raison de la schizophrénie diagnostiquée et de sa dépendance à des substances psycho-actives.</w:t>
      </w:r>
    </w:p>
    <w:p>
      <w:r>
        <w:t>- 32 - Cette diminution moyenne de responsabilité ainsi que la tentative selon l'art. 22 al. 1 CP permettent d’admettre que la culpabilité, initialement qualifiée de lourde, puisse être nettement allégée. Toutefois, si la faute est atténuée par la diminution de responsabilité, elle apparaît au contraire particulièrement aggravée par d’autres facteurs, en particulier le mobile égoïste et futile – l’intéressé apparaissant uniquement mû par la cupidité, au détriment de la santé et du bien de ses proches –, la façon d’agir et l’absence de toute prise de conscience. A cet égard, il convient de retenir, à charge, le concours d’infractions, la récidive en cours d’enquête malgré une première période de détention provisoire et durant le délai d’épreuve d’une condamnation précédente, la gravité croissante des actes, la persistance du prévenu à nier le caractère gravissime de ceux-ci et le fait que son épouse ne doive son salut qu’aux cris des enfants du couple, présents au moment des faits. A décharge, on ne retiendra que le fait que l’absence de repentir, d’excuses et de prise de conscience doit être mise en lien avec la maladie psychique de l’intéressé. Compte tenu de ce qui précède, la culpabilité globale de l’appelant doit être qualifiée de moyenne à grave.</w:t>
      </w:r>
    </w:p>
    <w:p>
      <w:r>
        <w:rPr>
          <w:b/>
        </w:rPr>
        <w:t>E. 4.4</w:t>
      </w:r>
    </w:p>
    <w:p>
      <w:r>
        <w:t>En l'occurrence, il faut apprécier la quotité de la peine, en tenant compte, outre des critères déjà mentionnés (cf. 4.3 ci-dessus), du fait que la peine à prononcer est complémentaire à une première condamnation prononcée en mars 2011 par le Tribunal de police de l’Est vaudois. Au regard des infractions commises par X.________, de sa culpabilité, de sa situation personnelle et de la diminution légère de responsabilité, une peine de sept ans de privation de liberté réprime adéquatement la faute de l’intéressé.</w:t>
      </w:r>
    </w:p>
    <w:p>
      <w:r>
        <w:rPr>
          <w:b/>
        </w:rPr>
        <w:t>E. 4.5</w:t>
      </w:r>
    </w:p>
    <w:p>
      <w:r>
        <w:t>Les autres éléments du jugement – qui ne sont par ailleurs pas contestés par l’appelant – devront être confirmés, en particulier la mesure</w:t>
      </w:r>
    </w:p>
    <w:p>
      <w:r>
        <w:t>- 33 - de traitement institutionnel qui apparaît adéquate, la révocation du sursis à la peine prononcée le 10 mars 2011 par le Tribunal de police de l’Est vaudois, et les conclusions civiles de C.________.</w:t>
      </w:r>
    </w:p>
    <w:p>
      <w:r>
        <w:rPr>
          <w:b/>
        </w:rPr>
        <w:t>E. 5</w:t>
      </w:r>
    </w:p>
    <w:p>
      <w:r>
        <w:t>La détention subie depuis le jugement de première instance doit être déduite. En outre, le maintien en détention de X.________ à titre de sûreté sera ordonné.</w:t>
      </w:r>
    </w:p>
    <w:p>
      <w:r>
        <w:rPr>
          <w:b/>
        </w:rPr>
        <w:t>E. 6</w:t>
      </w:r>
    </w:p>
    <w:p>
      <w:r>
        <w:t>En conclusion, l’appel est rejeté et le jugement attaqué est confirmé. Vu l'issue de la cause, les frais d'appel doivent être mis à la charge de X.________ (art. 428 al. 1 CPP). Outre l'émolument, qui se monte à 3'120 fr. (art. 21 al. 1 et 2 TFJP [Tarif des frais judiciaires pénaux du 28 septembre 2010, RSV 312.03.1]), les frais comprennent l’indemnité allouée à son défenseur d’office ainsi que l'indemnité allouée au conseil d'office de C.________. S’agissant de l’indemnité réclamée par Me Patricia Michellod, celle-ci a produit une liste d'opérations faisant état d’un total de 47 heures et 35 minutes de temps de travail. Toutefois, la Cour relève que, même en tenant compte du fait que le défenseur d’office a changé depuis la procédure de première instance, une activité de près de 50 heures telle qu’annoncée par Me Michellod paraît excessive au vu de la nature de la cause et des opérations nécessaires pour la défense des intérêts de l’appelant. Tout bien considéré, c'est un montant de 5'418 fr. 35, correspondant à 25 heures de travail à 180 fr. l'heure, TVA et débours compris, qui doit être alloué à titre d'indemnité au défenseur d'office de X.________ pour la procédure d'appel. L'indemnité allouée au conseil juridique gratuit de C.________ doit être arrêtée à 2'406 fr. 25, TVA et débours compris, représentant 12 heures d'activité à 180 fr. l'heure et 68 fr. de débours.</w:t>
      </w:r>
    </w:p>
    <w:p>
      <w:r>
        <w:t>- 34 - L’appelant ne sera tenu de rembourser à l’Etat le montant de les indemnités allouées à son défenseur d’office et au conseil d’office de C.________ que lorsque sa situation financière le permettra (art. 135 al. 4 let. a CPP ; TF 6B_405/2012 du 7 janvier 2013 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