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PE11.015097 vom 20. März 2013</w:t>
      </w:r>
    </w:p>
    <w:p>
      <w:r>
        <w:t>VD Tribunal cantonal, 2013-03-20, FR</w:t>
      </w:r>
    </w:p>
    <w:p>
      <w:r>
        <w:rPr>
          <w:b/>
        </w:rPr>
        <w:t xml:space="preserve">Quelle: </w:t>
      </w:r>
      <w:r>
        <w:t>https://mcp.opencaselaw.ch/entscheid/vd_gerichte_PE11.015097</w:t>
      </w:r>
    </w:p>
    <w:p>
      <w:r>
        <w:t>FR: VD_GERICHTE PE11.015097 du 20 mars 2013</w:t>
      </w:r>
    </w:p>
    <w:p>
      <w:r>
        <w:t>IT: VD_GERICHTE PE11.015097 del 20 marzo 2013</w:t>
      </w:r>
    </w:p>
    <w:p>
      <w:pPr>
        <w:pStyle w:val="Heading2"/>
      </w:pPr>
      <w:r>
        <w:t>Erwägungen</w:t>
      </w:r>
    </w:p>
    <w:p>
      <w:r>
        <w:rPr>
          <w:b/>
        </w:rPr>
        <w:t>E. 3</w:t>
      </w:r>
    </w:p>
    <w:p>
      <w:r>
        <w:t>L’appelant fait valoir qu’une peine de travail d’intérêt général ne peut être prononcée pour réprimer le séjour illicite de l’intimé. Il soutient en outre qu’une peine pécuniaire ne paraît pas, pour des motifs de prévention spéciale, adéquate pour sanctionner le comportement fautif du prévenu. Seule une peine privative de liberté serait adéquate. Enfin, les antécédents pénaux de l’intéressé impliqueraient un pronostic défavorable excluant le sursis. La qualification des infractions à réprimer n’est pas contestée.</w:t>
      </w:r>
    </w:p>
    <w:p>
      <w:r>
        <w:rPr>
          <w:b/>
        </w:rPr>
        <w:t>E. 4.1</w:t>
      </w:r>
    </w:p>
    <w:p>
      <w:r>
        <w:t>Le séjour illicite de l’intimé a perduré sans interruption du 7 décembre 2005 au 18 août 2011. Durant ce laps de temps, les dispositions réprimant pénalement le séjour illégal ont successivement réglé le genre et la quotité de la peine de trois manières différentes. L'art. 23 al. 1 LSEE dans sa teneur jusqu'au 31 décembre 2006 punissait le séjour illégal de six mois d'emprisonnement, l'art. 23 al. 1 LSEE dans sa teneur du 1er janvier au 31 décembre 2007 de 180 jours-amende et l'art. 115 al. 1 LEtr, entré en vigueur le 1er janvier 2008, d'une peine privative de liberté d'un an au plus ou d'une peine pécuniaire. La première question à trancher est donc celle du droit applicable en matière de législation sur les étrangers. 4.2.1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w:t>
      </w:r>
    </w:p>
    <w:p>
      <w:r>
        <w:t>- 11 -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135 IV 6 c. 3.2 p. 9; ATF 132 IV 49 c. 3.1.2.2 p. 55). Le séjour illégal est un délit continu (ATF 135 IV 6 précité, ibid.). L'infraction est achevée au moment où le séjour prend fin. 4.2.2 En matière de délit continu, la question du droit applicable se pose lorsque la loi change pendant l'exécution d'un tel délit. Un comportement qui n'était pas punissable sous l'ancien droit et qui le devient sous le nouveau sera jugé selon le nouveau droit, mais seule la partie du comportement postérieure à l'entrée en vigueur du nouveau droit sera punissable, conformément au principe de la non-rétroactivité.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droit (ATF 134 IV 82 c. 6.2.3 pp. 88 s.; ATF 114 IV 81 c. 3c p. 82). Pour régler cette question, la doctrine largement majoritaire propose l'application du nouveau droit à l'ensemble du délit continu, soit également à la partie antérieure à l'entrée en vigueur de la nouvelle norme (Hurtardo Pozo, Droit pénal, partie générale, 2009, pp. 109 s., et les autres références citées par TF 6B_196/2012 du 24 janvier 2013 c. 1.3).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 (TF 6B_196/2012 du 24 janvier 2013 précité, ibid.).</w:t>
      </w:r>
    </w:p>
    <w:p>
      <w:r>
        <w:t>- 12 - 4.2.3 Les conditions de punissabilité n'ont pas changé durant la période ici en cause; seul le type de peine et sa quotité maximale ont été modifiés. Ainsi, le nouveau droit est, conformément à la jurisprudence précitée, applicable à l'ensemble du délit continu, soit à l'entier du comportement de l’intimé pour son séjour illicite de 2005 à 2011. Il s’ensuit que c’est l’art. 115 al. 1 LEtr, applicable dans sa teneur en vigueur dès le 1er janvier 2008, qui est ici topique.</w:t>
      </w:r>
    </w:p>
    <w:p>
      <w:r>
        <w:rPr>
          <w:b/>
        </w:rPr>
        <w:t>E. 5.1</w:t>
      </w:r>
    </w:p>
    <w:p>
      <w:r>
        <w:t>La peine à prononcer doit réprimer l'ensemble des infractions faisant l'objet de la procédure. L’art. 115 al. 1 LEtr entre en concours avec l’art. 139 ch. 1 CP, qui réprime le vol.</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pp. 19 s.; ATF 129 IV 6 c. 6.1 p. 20; TF</w:t>
      </w:r>
    </w:p>
    <w:p>
      <w:r>
        <w:t>- 13 - 6B_759/2011 du 19 avril 2012 c. 1.1; TF 6B_335/2012 du 13 août 2012 c. 1.1).</w:t>
      </w:r>
    </w:p>
    <w:p>
      <w:r>
        <w:rPr>
          <w:b/>
        </w:rPr>
        <w:t>E. 6</w:t>
      </w:r>
    </w:p>
    <w:p>
      <w:r>
        <w:t>Appréciant la culpabilité de l'auteur, la cour retient en droit qu'il a séjourné illégalement en Suisse de manière ininterrompue sur une période prolongée. L'intimé a donc, sans discontinuer, agi dans le dessein de maintenir l'état de fait délictueux, en dépit du non renouvellement de son permis B et d’une précédente condamnation pour rupture de ban. Le vol perpétré le 18 août 2011 a été commis avec l’assistance de comparses. En outre, il porte sur des objets d’une valeur relativement significative; le moyen selon lequel c’est parce qu’il ne pouvait rien offrir à son fils que le prévenu a fait main basse sur les huit maillots de marque en question est irrelevant. A cela s'ajoutent les antécédents de l’intimé, notamment en matière d’escroquerie, qui doivent être tenus pour lourds et qui ne l'ont pas dissuadé de commettre une nouvelle infraction contre le patrimoine en plus du délit continu de séjour illicite perpétré sur une longue période. Ces éléments, d’une portée significative, doivent être retenus à charge. A décharge doit être pris en compte l'effet atténuant du changement législatif intervenu avec effet au 1er janvier 2008. En effet, une partie du délit continu s'est déroulée sous l'empire de l'art. 23 al. 1 LSEE dans ses teneurs jusqu’au 31 décembre 2006 et du 1er janvier au 31 décembre 2007, soit pendant une période où la sanction réprimant le séjour illégal était moins grave que sous le nouveau droit (TF 6B_196/2012, précité, c. 1 et 1.3 in fine). L'ensemble de ces éléments témoigne d'une culpabilité lourde. Dans ces circonstances, la peine de trois mois infligée par le tribunal de police est trop clémente. Cette quotité ne tient en effet pas compte de manière adéquate de la durée du séjour illégal, de l’importance du vol et de l’attitude défavorable du prévenu. La peine de six mois requise par le Ministère public apparaît en revanche un peu trop sévère au vu de l’effet atténuant devant impérativement découler de l’ancien droit en matière de</w:t>
      </w:r>
    </w:p>
    <w:p>
      <w:r>
        <w:t>- 14 - séjour illégal. Dans ces circonstances une peine de cinq mois apparaît justifiée.</w:t>
      </w:r>
    </w:p>
    <w:p>
      <w:r>
        <w:rPr>
          <w:b/>
        </w:rPr>
        <w:t>E. 7.1</w:t>
      </w:r>
    </w:p>
    <w:p>
      <w:r>
        <w:t>Cela étant, se pose la question du genre de la peine.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134 IV 82 c. 4.1).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Il est vrai qu'une peine privative de liberté ferme de moins de six mois n'entre qu'exceptionnellement en ligne de compte. Elle n'est possible que si les conditions de l'octroi du sursis au sens de l'art. 42 CP ne sont pas remplies et qu'il faut simultanément admettre qu'une peine pécuniaire ou un travail d'intérêt général ne pourront être exécutés (art. 41 al. 1 CP). En édictant cette disposition, le législateur a institué un ordre légal de priorité en faveur des sanctions non privatives de liberté (Goran Mazzucchelli, Basler Kommentar, art. 41 CP, n. 11/38). Le tribunal doit ainsi toujours examiner d'abord si une peine pécuniaire ferme peut être prononcée. Celle-ci doit</w:t>
      </w:r>
    </w:p>
    <w:p>
      <w:r>
        <w:t>- 15 -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(TF 6B_366/2007 du 17 mars 2008 c. 6.5.1). Par ailleurs, avec l'accord de l'intéressé, le travail d'intérêt général a la priorité dans tous les cas sur la peine pécuniaire.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de l’auteur au moment du jugement (art. 34 al. 2 CP). Lorsqu'il est exceptionnellement justifié de l'admettre dans le cas d'espèce, le tribunal est appelé à décider si un travail d'intérêt général peut être ordonné à la place d'une courte peine privative de liberté (ATF 134 IV 60 c. 6.3, confirmé par TF 6B_541/2007 du 13 mai 2008 c. 4.1 et 4.2).</w:t>
      </w:r>
    </w:p>
    <w:p>
      <w:r>
        <w:rPr>
          <w:b/>
        </w:rPr>
        <w:t>E. 7.2</w:t>
      </w:r>
    </w:p>
    <w:p>
      <w:r>
        <w:t>Selon la jurisprudence, le prononcé d'un travail d'intérêt général n'est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(ATF 134 IV 60 c. 3.3 p. 63, confirmé par TF 6B_541/2007 du 13 mai 2008 c. 4.2.4). Le travail d'intérêt général ne peut</w:t>
      </w:r>
    </w:p>
    <w:p>
      <w:r>
        <w:t>- 16 - être ordonné qu'avec l'accord de l'auteur. Cette condition est réalisée en l’espèce. 7.3.1 L’art. 41 al. 1 CP subordonne le prononcé d’une peine privative de liberté de courte durée aux conditions du sursis posées par l’art. 42 CP, norme à laquelle il renvoie (cf. c. 7.1 in initio). 7.3.2 En l’espèce, le prévenu réside en Suisse sans autorisation de séjour depuis de nombreuses années, sans qu’il ne se décide à regagner son pays. Le vol ici en cause porte sur des objets d’une valeur relativement significative et a en outre été commis avec des complices. Surtout, les antécédents de l’intimé sont lourds. Le prévenu a en effet été déjà condamné à des peines de détention dont il a purgé l’essentiel, sans effet sur son comportement. On ne discerne aucun élément favorable propre à infirmer ces facteurs à charge. Ces circonstances excluent tout pronostic favorable à l’aune de l’art. 42 al. 1 CP et commandent même un pronostic défavorable. Les conditions du sursis ne sont donc pas réunies, ce qui permet, en principe, le prononcé d’une peine privative de liberté de courte durée, sans qu’une peine de travail d'intérêt général, respectivement une peine pécuniaire, ne soit pour autant exclue d’emblée. Le prévenu a fait l’objet d’une procédure d’expulsion avec incarcération en vue de renvoi. Celle-ci a été suspendue par décision administrative du 25 avril 2013 pour les motifs que l’issue des démarches entreprises en vue de procéder à l’exécution du renvoi de l’intéressé demeurait incertaine et que le maintien en détention risquait de violer le principe de la proportionnalité. Le fait que le renvoi a été matériellement impossible en avril 2013 ne signifie pas pour autant que le prévenu va pouvoir résider en Suisse, qui plus est légalement. Ce renvoi peut en effet devenir possible à tout moment, notamment à la faveur de l’exécution d’un accord de réadmission avec l’Etat d’origine du délinquant. Dans ces circonstances, il n’y a aucun motif de préserver le réseau social de l’intéressé, dont le renvoi n’est que suspendu et qui n’a dès lors nulle</w:t>
      </w:r>
    </w:p>
    <w:p>
      <w:r>
        <w:t>- 17 - vocation à rester en Suisse. Un travail d'intérêt général est ainsi exclu conformément à la jurisprudence précitée. Une peine pécuniaire est également exclue au vu de l’impératif de prévention spéciale, s’agissant de deux infractions en concours, d’un séjour illégal qui dure depuis des années et, de surcroît, d’un prévenu qui a annoncé qu’il entendait persister dans son comportement illicite. 7.3.3. Les conditions pour le prononcé d’une peine ferme de détention au sens de l’art. 41 al. 1 CP sont ainsi réunies.</w:t>
      </w:r>
    </w:p>
    <w:p>
      <w:r>
        <w:rPr>
          <w:b/>
        </w:rPr>
        <w:t>E. 7.4</w:t>
      </w:r>
    </w:p>
    <w:p>
      <w:r>
        <w:t>Se prévalant d’un repentir sincère, l’intimé invoque le motif d’atténuation obligatoire fondé sur l’art. 48 let. d CP. Pour être mis au bénéfice de la disposition en question, l’auteur doit notamment avoir réparé le dommage autant qu’on pouvait l’attendre de lui. Contrairement à ce que fait plaider le prévenu, le seul fait qu’il ait reconnu les actes incriminés, à savoir en particulier le vol perpétré le 18 août 2011, ne saurait suffire à constituer un repentir sincère au sens de la loi. Du reste, les aveux du prévenu, appréhendé sur les lieux par le personnel du magasin, n’ont pas permis d’identifier les deux amis habitant la région lausannoise avec lesquels il dit avoir agi. Les conditions d’application de l’art. 48 let. d CP ne sont ainsi à l’évidence pas remplies. C'est donc une peine privative de liberté de cinq mois qui doit réprimer les infractions ici en cause.</w:t>
      </w:r>
    </w:p>
    <w:p>
      <w:r>
        <w:rPr>
          <w:b/>
        </w:rPr>
        <w:t>E. 8</w:t>
      </w:r>
    </w:p>
    <w:p>
      <w:r>
        <w:t>Vu l'issue de l'appel, l'appelant obtenant gain de cause, les frais de la procédure d'appel doivent être mis à la charge de l'intimé, qui succombe (art. 428 al. 1, 1ère phrase, CPP). Outre l'émolument, ces frais comprennent l’indemnité allouée à son défenseur d’office pour les opérations liées à la procédure d'appel (cf. les art. 135 al. 2 et 422 al. 2 let. a CPP; art. 2 al. 2 ch. 1 TFJP). Vu l'ampleur et la complexité de la cause en appel, l'indemnité allouée au défenseur d'office de l'intimé doit être fixée sur la base d'une</w:t>
      </w:r>
    </w:p>
    <w:p>
      <w:r>
        <w:t>- 18 - durée d'activité de douze heures, à 110 fr. l'heure (s’agissant d’une avocate-stagiaire), TVA en sus (art. 135 al. 1 CPP). Le prévenu ne sera tenu de rembourser à l’Etat le montant de l’indemnité en faveur de son défenseur d’office prévue ci-dessus que lorsque sa situation financière le permettra (art. 135 al. 4 let. a CPP). Les frais de première instance doivent rester à la charge du prévenu, dont la condamnation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