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PE11.014957 vom 22. Mai 2012</w:t>
      </w:r>
    </w:p>
    <w:p>
      <w:r>
        <w:t>VD Tribunal cantonal, 2012-05-22, FR</w:t>
      </w:r>
    </w:p>
    <w:p>
      <w:r>
        <w:rPr>
          <w:b/>
        </w:rPr>
        <w:t xml:space="preserve">Quelle: </w:t>
      </w:r>
      <w:r>
        <w:t>https://mcp.opencaselaw.ch/entscheid/vd_gerichte_PE11.014957</w:t>
      </w:r>
    </w:p>
    <w:p>
      <w:r>
        <w:t>FR: VD_GERICHTE PE11.014957 du 22 mai 2012</w:t>
      </w:r>
    </w:p>
    <w:p>
      <w:r>
        <w:t>IT: VD_GERICHTE PE11.014957 del 22 maggio 2012</w:t>
      </w:r>
    </w:p>
    <w:p>
      <w:pPr>
        <w:pStyle w:val="Heading2"/>
      </w:pPr>
      <w:r>
        <w:t>Erwägungen</w:t>
      </w:r>
    </w:p>
    <w:p>
      <w:r>
        <w:rPr>
          <w:b/>
        </w:rPr>
        <w:t>E. 4</w:t>
      </w:r>
    </w:p>
    <w:p>
      <w:r>
        <w:t>C'est à juste titre, vu ce qui précède, que I.________ a été condamné pour vol, brigandage, dommages à la propriété et violation de domicile; les qualifications juridiques ne sont d'ailleurs pas contestées.</w:t>
      </w:r>
    </w:p>
    <w:p>
      <w:r>
        <w:rPr>
          <w:b/>
        </w:rPr>
        <w:t>E. 5</w:t>
      </w:r>
    </w:p>
    <w:p>
      <w:r>
        <w:t>Il reste à examiner la peine. L'appelant reproche au premier juge d'avoir retenu ses dénégations comme élément à charge, méconnu l'intensité de ses efforts de resocialisation, et refusé à tort de lui accorder un sursis.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- 19 -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134 IV 17 c. 2.1 p. 19 s.; 129 IV 6 c. 6.1, p. 21 et les références citées). 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w:t>
      </w:r>
    </w:p>
    <w:p>
      <w:r>
        <w:t>- 20 - considération l'opportunité de la sanction déterminée, ses effets sur l'auteur et son milieu social, ainsi que son efficacité préventive (TF du 10 avril 2008 6B_28/2008, c. 4.1 et la jurisprudence citée; ATF 134 IV 109 = JT 2009 I 554, c. 4). Une peine pécuniaire peut être exclue pour des motifs de prévention spéciale (TF du 14 juin 2011, 6B_128/2011, c. 3.4).</w:t>
      </w:r>
    </w:p>
    <w:p>
      <w:r>
        <w:rPr>
          <w:b/>
        </w:rPr>
        <w:t>E. 5.2.1</w:t>
      </w:r>
    </w:p>
    <w:p>
      <w:r>
        <w:t>En l'espèce, c’est la quatrième fois que I.________ occupe la justice pénale, toujours pour les mêmes infractions et sur un court laps de temps (du 12 novembre 2009 au 22 mai 2012). La peine privative de liberté de six mois qui lui a été infligée le 5 octobre 2010 ne l'a pas empêché de retomber dans l’illégalité, ce qui montre le peu de respect qu'il a pour les règles en vigueur. Dans ces conditions et pour des motifs de prévention spéciale, seule une peine privative de liberté est adéquate pour sanctionner ses agissements. Le premier juge pouvait donc, sans violer le droit fédéral, considérer que là où l'effet dissuasif d'une précédente peine de privation de liberté ferme avait échoué, une peine pécuniaire n'entrait pas en considération. Le genre de peine fixé par le premier juge doit donc être confirmé.</w:t>
      </w:r>
    </w:p>
    <w:p>
      <w:r>
        <w:rPr>
          <w:b/>
        </w:rPr>
        <w:t>E. 5.2.2</w:t>
      </w:r>
    </w:p>
    <w:p>
      <w:r>
        <w:t>La quotité de la peine est fixée en fonction des infractions commises et de la culpabilité de l’auteur. A la charge de I.________ on relèvera une certaine gradation dans l’activité délictueuse, celui-ci étant présentement reconnu coupable de brigandage. On tiendra également compte du concours d’infractions, des antécédents du condamné, et du fait qu’il a repris une activité délictueuse d’importance sept ou huit mois après avoir été condamné pour la dernière fois à une peine de prison ferme. A charge, toujours, on retiendra que I.________ s’est montré fort peu collaborant durant l’enquête, et que malgré des preuves incontestables, il a persisté à nier être l’auteur de toute infraction. Une telle attitude n'est pas de nature à faciliter le travail des enquêteurs. Dans ce contexte, l'autorité de première instance n'a pas violé les droits constitutionnels de l'intéressé en considérant les dénégations de celui-ci comme un facteur</w:t>
      </w:r>
    </w:p>
    <w:p>
      <w:r>
        <w:t>- 21 - aggravant de la peine (TF du 3 décembre 2007 6B_532/ 2007). Il n'y a aucun élément à décharge. Dès lors, la peine privative de liberté de sept mois infligée à I.________ doit être confirmée. La détention préventive subie du 13 au 14 septembre 2011 en sera déduite.</w:t>
      </w:r>
    </w:p>
    <w:p>
      <w:r>
        <w:rPr>
          <w:b/>
        </w:rPr>
        <w:t>E. 5.2.3</w:t>
      </w:r>
    </w:p>
    <w:p>
      <w:r>
        <w:t>Vu ses antécédents, I.________ ne saurait bénéficier du sursis sauf circonstances particulièrement favorables (art. 42 al. 2 CP). On ne se trouve pas dans un tel cas en l’espèce. S'il est vrai que I.________ semble faire les efforts nécessaires pour se socialiser, on gardera à l'esprit que les démarches entreprises, – au reste, avec l’aide de tiers –, le sont sous la pression de la décision de libération conditionnelle dont il peut bénéficier depuis le 15 avril 2012. Celle-ci est subordonnée à la condition qu’il se soumette, pendant la durée du délai d’épreuve fixé à un an, à des contrôles d’abstinence de l’alcool. S’ils ont été organisés, ces contrôles n’ont pas encore débuté. On ajoutera que I.________ n’est pas encore au bénéfice d’un contrat de travail, même s'il a effectué deux stages d’occupation où son comportement est décrit comme bon. A ce stade, on n'a pas encore le recul nécessaire pour apprécier si le condamné sera capable de poursuivre ses efforts à long terme sans la menace que constitue la révocation possible de sa libération conditionnelle. I.________ ne peut donc pas encore être considéré comme quelqu’un qui s’est réinséré socialement et dont la situation s'est stabilisée. Par ailleurs, il y a lieu d'appliquer l'art. 42 al. 3 CP, I.________ ayant omis de réparer le dommage comme on pouvait raisonnablement l’attendre de lui malgré la modicité de ses revenus. L'intéressé [...] que parce que celle-ci a accepté de retirer sa plainte. En appel, il souhaite faire renvoyer cette victime au for civil et s'efforce de justifier par une argumentation oiseuse son refus de la dédommager spontanément. Il n'y a ainsi pas eu de véritable prise de conscience, ni de remord.</w:t>
      </w:r>
    </w:p>
    <w:p>
      <w:r>
        <w:rPr>
          <w:b/>
        </w:rPr>
        <w:t>E. 5.4</w:t>
      </w:r>
    </w:p>
    <w:p>
      <w:r>
        <w:t>Contrairement à ce que soutient l'intéressé dans son appel, la peine infligée respecte en tous points les critères légaux. Tout à fait justifiée au regard des considérations qui précèdent, elle doit être confirmée.</w:t>
      </w:r>
    </w:p>
    <w:p>
      <w:r>
        <w:t>- 22 -</w:t>
      </w:r>
    </w:p>
    <w:p>
      <w:r>
        <w:rPr>
          <w:b/>
        </w:rPr>
        <w:t>E. 6.1</w:t>
      </w:r>
    </w:p>
    <w:p>
      <w:r>
        <w:t>C'est à juste titre que l'autorité de première instance a alloué à [...], à la charge de I.________, ses prétentions civiles, cette plaignante ayant chiffré ses prétentions et produit une pièce justificative (jugement p. 16). La conclusion tendant au renvoi de la partie civile au for civil doit donc être rejetée.</w:t>
      </w:r>
    </w:p>
    <w:p>
      <w:r>
        <w:rPr>
          <w:b/>
        </w:rPr>
        <w:t>E. 6.2</w:t>
      </w:r>
    </w:p>
    <w:p>
      <w:r>
        <w:t>Présent à l'audience d'appel, le plaignant [...] (jugement p. 13) a demandé une indemnité pour les dégâts causés par le prévenu à son véhicule et a produit une pièce justificative. L'art. 124 al. 2 CPP prévoit que le prévenu doit pouvoir s’exprimer sur les conclusions civiles, au plus tard lors des débats de première instance. Prise pour la première fois en audience d'appel, cette conclusion est tardive, partant irrecevable.</w:t>
      </w:r>
    </w:p>
    <w:p>
      <w:r>
        <w:rPr>
          <w:b/>
        </w:rPr>
        <w:t>E. 7</w:t>
      </w:r>
    </w:p>
    <w:p>
      <w:r>
        <w:t>En définitive, l'appel de I.________ est en tous points mal fondé. Il doit être rejeté aux frais de son auteur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