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PE11.014944 vom 9. Januar 2014</w:t>
      </w:r>
    </w:p>
    <w:p>
      <w:r>
        <w:t>VD Tribunal cantonal, 2014-01-09, FR</w:t>
      </w:r>
    </w:p>
    <w:p>
      <w:r>
        <w:rPr>
          <w:b/>
        </w:rPr>
        <w:t xml:space="preserve">Quelle: </w:t>
      </w:r>
      <w:r>
        <w:t>https://mcp.opencaselaw.ch/entscheid/vd_gerichte_PE11.014944</w:t>
      </w:r>
    </w:p>
    <w:p>
      <w:r>
        <w:t>FR: VD_GERICHTE PE11.014944 du 9 janvier 2014</w:t>
      </w:r>
    </w:p>
    <w:p>
      <w:r>
        <w:t>IT: VD_GERICHTE PE11.014944 del 9 gennaio 2014</w:t>
      </w:r>
    </w:p>
    <w:p>
      <w:pPr>
        <w:pStyle w:val="Heading2"/>
      </w:pPr>
      <w:r>
        <w:t>Erwägungen</w:t>
      </w:r>
    </w:p>
    <w:p>
      <w:r>
        <w:rPr>
          <w:b/>
        </w:rPr>
        <w:t>E. 1</w:t>
      </w:r>
    </w:p>
    <w:p>
      <w:r>
        <w:t>Le prononcé par lequel un tribunal de première instance, statuant sur la validité de l'opposition formée par le prévenu contre une ordonnance de condamnation rendue par le Ministère public (cf. art. 356 al. 2 CPP [Code de procédure pénale suisse du 5 octobre 2007 ; RS 312]),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 cf., entre autres, CREP 20 janvier 2014/32). Le recours a été interjeté en temps utile (art. 396 al. 1 CPP), devant l’autorité compétente, par une partie qui a qualité pour recourir (art. 382 al. 1 CPP) et dans les formes prescrites (art. 385 al. 1 CPP). Il est donc recevable.</w:t>
      </w:r>
    </w:p>
    <w:p>
      <w:r>
        <w:rPr>
          <w:b/>
        </w:rPr>
        <w:t>E. 2</w:t>
      </w:r>
    </w:p>
    <w:p>
      <w:r>
        <w:t>a) La recourante fait valoir que le pli contenant l’ordonnance pénale du 11 septembre 2013 aurait été retiré à son insu par son époux en date du 12 septembre 2013. Elle soutient qu’à l’époque où le pli lui a été adressé, elle était séparée de son mari, en raison de difficultés conjugales. Elle n’aurait ainsi eu connaissance de l’ordonnance pénale que lorsque sa mère, [...], aurait retiré son propre pli, à savoir le 19 septembre 2013. En outre, la recourante argue que, dans la mesure où la crise conjugale venait d’éclater, l’on ne saurait lui reprocher de ne pas avoir pris des précautions pour garantir la bonne réception de son courrier. Dans ce contexte, son époux ne revêtirait plus la qualité de familier au sens de la jurisprudence du Tribunal fédéral.</w:t>
      </w:r>
    </w:p>
    <w:p>
      <w:r>
        <w:t>- 4 - b)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Les autorités pénales notifient leurs prononcés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(85 al. 3 CPP). Le prononcé est également réputé notifié lorsque, expédié par lettre signature, il n'a pas été retiré dans les sept jours à compter de la tentative infructueuse de remise du pli, si la personne concernée devait s'attendre à une telle remise (art. 85 al. 4 let. a CPP). Cette forme abstraite de notification n’est admise qu’à la condition que le destinataire pouvait de bonne foi s’attendre à recevoir un pli judiciaire (cf. Moreillon/Parein-Reymond, Petit Commentaire du Code de procédure pénale, Bâle 2013, n. 17 ad art. 85 CPP et les références citées; cf. ég. CREP 8 septembre 2011/357 c. 2d). Tel sera le cas lorsque le justiciable est au courant qu’il fait l’objet d’une instruction pénale (ibidem). L’obligation pour la personne de prendre des dispositions pour être atteinte naît lorsqu’elle est clairement informée par la police qu’elle fait l’objet d’une poursuite pénale (ibidem). En effet, conformément à l'art. 158 al. 1 let. a CPP, au début de la première audition, la police ou le Ministère public informent le prévenu, dans une langue qu'il comprend, qu'une procédure préliminaire (cf. art. 300 al. 1 CPP) est ouverte contre lui et pour quelles infractions.</w:t>
      </w:r>
    </w:p>
    <w:p>
      <w:r>
        <w:t>- 5 - En vertu de l’art. 87 al. 1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 les instruments internationaux prévoyant la possibilité de notification directe sont réservés (art. 87 al. 2 CPP). c) En l’espèce, la recourante a été informée par la police de l'ouverture d'une procédure préliminaire à son endroit. Elle a d’ailleurs signé le 6 juin 2013 le formulaire intitulé "Audition en qualité de prévenu (art. 157 CPP) droits et obligations", lequel reprend les informations à donner à celui-ci lors de la première audition conformément à l’art. 158 al. 1 CPP. La recourante se trouvait ainsi dans une situation où elle devait s’attendre à recevoir des communications de la part des autorités, y compris une ordonnance pénale. Envoyé à la recourante le 11 septembre 2013, le pli recommandé contenant l’ordonnance pénale a été retiré le 12 septembre 2013. Par conséquent, la recourante disposait d’un délai au 22 septembre 2013 (cf. art. 90 CPP) pour former opposition conformément à l’art. 354 al. 1 CPP. Or, la recourante a envoyé son opposition le 25 septembre 2013, de sorte que celle-ci est manifestement tardive. Quant bien même la recourante ne souhaitait pas contacter son époux en raison des dissensions qui les divisaient, elle aurait dû se renseigner auprès de la Poste ou, à tout le moins, déposer son opposition immédiatement après que sa mère l’avait informée de la réception du pli la concernant. En effet, la notification de l’ordonnance pénale à [...] étant intervenue en date du 19 septembre 2013, une opposition formée immédiatement par la recourante l’aurait été en temps utile. Au surplus, il y lieu de constater que la recourante avait le loisir d’exposer d’emblée, dans son opposition, les circonstances précises de sa situation conjugale ainsi que les moyens de preuve y afférents. Au</w:t>
      </w:r>
    </w:p>
    <w:p>
      <w:r>
        <w:t>- 6 - contraire, elle s’est contentée de relever qu’elle avait été « dans l’impossibilité de retirer le pli » ; sa lettre du 25 septembre 2013 ne fait état d’aucune circonstance particulière à cet égard. Il s’avère que la recourante partait, à tort, de l’idée que la date de réception de l’ordonnance litigieuse par sa mère valait pour les deux. Ce moyen doit être rejeté.</w:t>
      </w:r>
    </w:p>
    <w:p>
      <w:r>
        <w:rPr>
          <w:b/>
        </w:rPr>
        <w:t>E. 3</w:t>
      </w:r>
    </w:p>
    <w:p>
      <w:r>
        <w:t>a) La recourante a subsidiairement sollicité une restitution de délai, au sens de l’art. 94 CPP. b) Aux termes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Cette disposition subordonne donc la restitution de délai à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op. cit., n. 5 ad art. 94 CPP).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(Moreillon/Parein- Reymond, op. cit., nn. 5 ss ad art. 94 CPP et les références citées).</w:t>
      </w:r>
    </w:p>
    <w:p>
      <w:r>
        <w:t>- 7 - L'art. 94 al. 2 CPP dispose que la demande de restitution de délai doit être adressée, dûment motivée, par écrit et dans un délai de trente jours à compter de celui où l'empêchement a cessé, à l'autorité auprès de laquelle l'acte de procédure aurait dû être accompli. c) En l’espèce, la demande de restitution de délai aurait dû être présentée auprès du Ministère public, ce que la recourante a omis de faire. En tout état, cette demande datant du 20 janvier 2014 est tardive, au regard de l’art. 94 al. 2 CPP, de sorte que, pour ce motif déjà, elle apparaît irrecevable. Au surplus, comme exposé ci-dessus, la recourante aurait dû s’attendre à recevoir l’ordonnance pénale litigieuse. Elle était donc tenue de prendre les mesures nécessaires à la sauvegarde d’un éventuel délai qui pouvait lui être imparti, à tout le moins en réagissant immédiatement lorsqu’elle a su qu’une ordonnance pénale lui avait été envoyée directement (TF 1B_51/2011 du 21 octobre 2011; ATF 130 III 396 c. 1.2.3, JT 2005 II 87). Ainsi, l’on ne peut considérer que son empêchement était non fautif. De surcroît, l’intéressée n’allègue aucun cas de force majeure et ne rend pas vraisemblable qu'elle aurait été sans sa faute dans l'incapacité de procéder. Par conséquent, la demande de restitution de délai, si elle avait été recevable, aurait de toute manière dû être rejetée.</w:t>
      </w:r>
    </w:p>
    <w:p>
      <w:r>
        <w:rPr>
          <w:b/>
        </w:rPr>
        <w:t>E. 4</w:t>
      </w:r>
    </w:p>
    <w:p>
      <w:r>
        <w:t>En définitive, l’opposition formée le 25 septembre 2013 doit être considérée comme tardive. Partant, c’est à bon droit que le Tribunal de police de l’arrondissement de l’Est vaudois l’a déclarée irrecevable. Le recours doit donc être rejeté et le prononcé du 9 janvier 2014 confirmé. Les frais de la procédure de recours, soit les frais d’arrêt, par 770 fr. (art. 20 al. 1 TFJP [Tarif des frais judiciaires pénaux du 28 septembre 2010, RSV 312.03.1]), seront mis à la charge de la recourante, qui succombe (art. 428 al. 1 CPP).</w:t>
      </w:r>
    </w:p>
    <w:p>
      <w:r>
        <w:t>- 8 - Par ces motifs, la Chambre des recours pénale, statuant à huis clos, prononce : I. Le recours est rejeté. II. Le prononcé rendu le 9 janvier 2014 est confirmé. III. Les frais d’arrêt, par 770 fr. (sept cent septante francs), sont mis à la charge de la recourante. IV. Le présent arrêt est exécutoire. Le président : La greffière : Du L'arrêt qui précède, dont la rédaction a été approuvée à huis clos, est notifié, par l'envoi d'une copie complète, à : - Me Robert Fox, avocat (pour G.________), - Ministère public central, et communiqué à : - Mme la Présidente du Tribunal d’arrondissement de l’Est vaudois,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