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PE11.011494 vom 9. Oktober 2011</w:t>
      </w:r>
    </w:p>
    <w:p>
      <w:r>
        <w:t>VD Tribunal cantonal, 2011-10-09, FR</w:t>
      </w:r>
    </w:p>
    <w:p>
      <w:r>
        <w:rPr>
          <w:b/>
        </w:rPr>
        <w:t xml:space="preserve">Quelle: </w:t>
      </w:r>
      <w:r>
        <w:t>https://mcp.opencaselaw.ch/entscheid/vd_gerichte_PE11.011494</w:t>
      </w:r>
    </w:p>
    <w:p>
      <w:r>
        <w:t>FR: VD_GERICHTE PE11.011494 du 9 octobre 2011</w:t>
      </w:r>
    </w:p>
    <w:p>
      <w:r>
        <w:t>IT: VD_GERICHTE PE11.011494 del 9 ottobre 2011</w:t>
      </w:r>
    </w:p>
    <w:p>
      <w:pPr>
        <w:pStyle w:val="Heading2"/>
      </w:pPr>
      <w:r>
        <w:t>Volltext</w:t>
      </w:r>
    </w:p>
    <w:p>
      <w:r>
        <w:t>TRIBUNAL CANTONAL 324 PE11.011494-GRV CHAMBRE DE S RECO URS PEN ALE __________________________________________ Séance du 20 juin 2012 __________________ Présidence de M. KRIEGER, président Juges : Mme Epard et M. Abrecht Greffière : Mme Choukroun ***** Art. 221 al. 1, 222, 227, 393 ss CPP Vu l'enquête n° PE11.011494-LCT instruite d'office par le Ministère public de l'arrondissement de Lausanne contre M.________ pour infraction grave à la LStup (Loi fédérale du 3 octobre 1951 sur les stupéfiants et les substances psychotropes; RS 812.121), contravention à la LStup, blanchiment d'argent, infraction grave à la LPTh (Loi fédérale du 15 décembre 2000 sur les médicaments et les dispositifs médicaux [Loi sur les produits thérapeutiques], RS 812.21), subsidiairement contravention à la LPTh, et violation des règles de la LCR (Loi fédérale du 19 décembre 1958 sur la circulation routière la circulation routière, RS 741.01), 351</w:t>
      </w:r>
    </w:p>
    <w:p>
      <w:r>
        <w:t>- 2 - vu l'ordonnance du 9 octobre 2011 par laquelle le Tribunal des mesures de contraintes a ordonné la détention provisoire de M.________, prolongée en dernier lieu par ordonnance du 7 mai 2012 pour une durée de quatre mois, soit jusqu'au 27 août 2012, vu l'ordonnance du 7 juin 2012 par laquelle le Tribunal des mesures de contraintes a rejeté la demande de M.________ tendant à sa libération de la détention pour des motifs de sûreté, vu le recours interjeté le 15 juin 2012 par M.________ contre cette ordonnance,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w:t>
      </w:r>
    </w:p>
    <w:p>
      <w:r>
        <w:t>- 3 -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M.________ est mis en accusation notamment pour blanchiment d'argent et infraction grave à la LStup à raison d'un trafic portant sur environs 300 grammes de cocaïne pure, que le recourant ne nie pas son implication dans un trafic d'importance, indiquant qu'il a "pleinement réalisé la gravité de ses actes et a maintes fois exprimé ses regrets"', qu'il existe dès lors des présomptions de culpabilité suffisantes contre le recourant;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w:t>
      </w:r>
    </w:p>
    <w:p>
      <w:r>
        <w:t>- 4 -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conteste ce risque de fuite, expliquant qu'il est installé en Suisse depuis 26 ans, qu'il est au bénéfice d'un permis d'établissement C, qu'il y a ses enfants – nés en Suisse - et une situation professionnelles stable, que le recourant est toutefois resté ressortissant portugais, pays où ses parents habitent et dans lequel il est propriétaire d'un bien immobilier, que sa situation économique est obérée, que contrairement à ce qu'affirme le recourant, en fuyant la Suisse pour s'installer au Portugal, le lien avec ses enfants n’en serait pas pour autant rompu puisque son ex-épouse accepte que ses enfants puissent partir au Portugal pour y passer des vacances avec leur père, qu'à cela s'ajoutent l'importance de la peine à laquelle le recourant s'expose ainsi que la proximité de l'audience de jugement, que le risque de fuite doit dès lors être reconnu, aucune mesure de substitution n'étant susceptible de prévenir ce risque (art. 212 al. 2 let. c CPP); attendu, pour le surplus, que le principe de la proportionnalité des intérêts en présence demeure respecté, compte tenu de la gravité des infractions reprochées au recourant et de la durée de la détention provisoire déjà subie (TF 1B_482/2011 du 4 octobre 2011 c. 2.1; ATF 133 I 168 c. 4.1 et les arrêts cités; ATF 132 I 21 c. 4.1); attendu, en définitive, que le recours, manifestement mal fondé, doit être rejeté et l'ordonnance confirmée, que les frais de la procédure de recours, constitués de l'émolument d'arrêt (art. 422 al. 1 CPP), par 440 fr. (art. 20 al. 1 TFJP [Tarif</w:t>
      </w:r>
    </w:p>
    <w:p>
      <w:r>
        <w:t>- 5 - des frais judiciaires pénaux du 28 septembre 2010, RSV 312.03.1]) seront mis à la charge du recourant, qui succombe (art. 428 al. 1 CPP). Par ces motifs, la Chambre des recours pénale, statuant à huis clos : I. Rejette le recours. II. Confirme l'ordonnance attaquée. III. Dit que les frais du présent arrêt, par 440 fr. (quatre cent quarante francs), sont mis à la charge du recourant. IV. Déclare le présent arrêt exécutoire. Le président : La greffière : Du L'arrêt qui précède, dont la rédaction a été approuvée à huis clos, est notifié, par l'envoi d'une copie complète, à : - Mme Véronique Fontana, avocate (pour M.________), - Ministère public central, et communiquée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- 6 -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