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PE11.010600 vom 22. August 2013</w:t>
      </w:r>
    </w:p>
    <w:p>
      <w:r>
        <w:t>VD Tribunal cantonal, 2013-08-22, FR</w:t>
      </w:r>
    </w:p>
    <w:p>
      <w:r>
        <w:rPr>
          <w:b/>
        </w:rPr>
        <w:t xml:space="preserve">Quelle: </w:t>
      </w:r>
      <w:r>
        <w:t>https://mcp.opencaselaw.ch/entscheid/vd_gerichte_PE11.010600</w:t>
      </w:r>
    </w:p>
    <w:p>
      <w:r>
        <w:t>FR: VD_GERICHTE PE11.010600 du 22 août 2013</w:t>
      </w:r>
    </w:p>
    <w:p>
      <w:r>
        <w:t>IT: VD_GERICHTE PE11.010600 del 22 agosto 2013</w:t>
      </w:r>
    </w:p>
    <w:p>
      <w:pPr>
        <w:pStyle w:val="Heading2"/>
      </w:pPr>
      <w:r>
        <w:t>Erwägungen</w:t>
      </w:r>
    </w:p>
    <w:p>
      <w:r>
        <w:rPr>
          <w:b/>
        </w:rPr>
        <w:t>E. 1</w:t>
      </w:r>
    </w:p>
    <w:p>
      <w:r>
        <w:t>D.________ est né le [...] 1947. Il est divorcé et vit seul à [...]. Retraité, il perçoit une rente AVS ainsi que des prestations complémentaires. Le 7 décembre 2006, une mesure de tutelle a été instituée en sa faveur. Par décision du 20 novembre 2012, le juge de paix, en se fondant sur le rapport d’expertise psychiatrique établi le 11 septembre 2012, a maintenu cette mesure.</w:t>
      </w:r>
    </w:p>
    <w:p>
      <w:r>
        <w:rPr>
          <w:b/>
        </w:rPr>
        <w:t>E. 2</w:t>
      </w:r>
    </w:p>
    <w:p>
      <w:r>
        <w:t>Le requérant fait valoir qu’au vu de sa capacité de discernement limitée, il n’avait ni la capacité pénale, ni la capacité de prendre part aux débats. De ce fait, le Ministère public aurait dû notifier l’ordonnance pénale du 4 janvier 2013 à son tuteur et lui désigner un défenseur d’office. En outre, il aurait dû bénéficier d’une responsabilité restreinte au sens de l’art. 19 CP et la peine aurait dû être atténuée en conséquence.</w:t>
      </w:r>
    </w:p>
    <w:p>
      <w:r>
        <w:t>- 5 -</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Il 1057 ss, spéc. 1303; TF 6B_310/2011 du 20 juin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op. cit. c. 1.2; ATF 130 IV 72 c. 1). 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 2.3; TF 6B_245/2012 du 12 septembre 2012 c. 1.6).</w:t>
      </w:r>
    </w:p>
    <w:p>
      <w:r>
        <w:rPr>
          <w:b/>
        </w:rPr>
        <w:t>E. 2.2</w:t>
      </w:r>
    </w:p>
    <w:p>
      <w:r>
        <w:t>En l’espèce, il résulte du dossier que l’existence d’un représentant légal, par l’Office du Tuteur général, était connue des autorités de poursuite pénale (cf. P. 4 en page de garde). De surcroît, lors de son audition du 7 juin 2013 à la police, le prévenu a indiqué qu’il faisait l’objet d’une mesure tutélaire (PV aud. 2, p. 3). Dans ces conditions, on ne</w:t>
      </w:r>
    </w:p>
    <w:p>
      <w:r>
        <w:t>- 6 - saurait considérer que cette circonstance était inconnue du Ministère public au moment de rendre son ordonnance pénale. Par ailleurs, au vu des pièces au dossier, l’autorité d’instruction n’avait pas à éprouver de doute sur la responsabilité du prévenu au sens de l’art. 20 CP. En effet, selon la décision de la justice de paix du 20 novembre 2012, le requérant est capable de gérer ses affaires seul et ses troubles cognitifs ne compromettent que la gestion de situations complexes (P. 23/2 annexe 4, p. 6). Par ailleurs, il ressort de l’expertise psychiatrique établie le 11 septembre 2012 que le trouble affectif bipolaire dont souffre le requérant est actuellement en rémission et la dépendance à l’alcool révolue (P. 23/2 annexe 5, p. 7). L’interdiction civile du requérant n’est donc pas propre à ébranler l’état de fait sur lequel se fonde sa condamnation et à rendre possible un jugement sensiblement plus favorable. Au surplus, la validité de la notification d’une ordonnance pénale à une personne interdite ne constitue pas un motif de révision, une telle voie étant en effet ouverte pour faire corriger une erreur de fait et non de droit (Favre/Pellet/Stoudmann, Code pénal annoté, 3ème éd., n. 1.2 ad art. 385 CP). Il en va de même de l’absence de défenseur d’office, le prévenu ayant au demeurant déclaré à chaque interrogatoire n’avoir pas besoin de l’assistance d’un avocat (PV aud. 2, p. 2; PV aud. 3, p. 2; PV aud. 5, p. 2). . Il résulte de ce qui précède que les arguments avancés par le requérant ne peuvent pas être qualifiés de faits nouveaux et sérieux au sens de l’art. 410 al. 1 let. a CPP. Aucun motif de révision n’est réalisé.</w:t>
      </w:r>
    </w:p>
    <w:p>
      <w:r>
        <w:rPr>
          <w:b/>
        </w:rPr>
        <w:t>E. 2.3</w:t>
      </w:r>
    </w:p>
    <w:p>
      <w:r>
        <w:t>En définitive, la demande de révision de D.________ doit être rejetée, dans la mesure où elle est recevable.</w:t>
      </w:r>
    </w:p>
    <w:p>
      <w:r>
        <w:rPr>
          <w:b/>
        </w:rPr>
        <w:t>E. 3</w:t>
      </w:r>
    </w:p>
    <w:p>
      <w:r>
        <w:t>Le requérant requiert la désignation d’un défenseur d’office pour la procédure de révision.</w:t>
      </w:r>
    </w:p>
    <w:p>
      <w:r>
        <w:t>- 7 -</w:t>
      </w:r>
    </w:p>
    <w:p>
      <w:r>
        <w:rPr>
          <w:b/>
        </w:rPr>
        <w:t>E. 3.1</w:t>
      </w:r>
    </w:p>
    <w:p>
      <w:r>
        <w:t>En dehors des cas de défense obligatoire, – hypothèses non réalisées en l'espèce –,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En tout état de cause, une affaire n’est pas de peu de gravité lorsque le prévenu est passible notamment d’une peine privative de liberté de plus de quatre mois (art. 132 al. 3 CPP; TF 1B_74/2013 du 9 avril 2013 c. 2.1).</w:t>
      </w:r>
    </w:p>
    <w:p>
      <w:r>
        <w:rPr>
          <w:b/>
        </w:rPr>
        <w:t>E. 3.2</w:t>
      </w:r>
    </w:p>
    <w:p>
      <w:r>
        <w:t>En l’occurrence, compte tenu de l’indigence du requérant et de la peine privative de liberté prononcée à son encontre, il se justifie de lui désigner un défenseur d’office en la personne de Me Guy Longchamp pour la procédure de révision.</w:t>
      </w:r>
    </w:p>
    <w:p>
      <w:r>
        <w:rPr>
          <w:b/>
        </w:rPr>
        <w:t>E. 4</w:t>
      </w:r>
    </w:p>
    <w:p>
      <w:r>
        <w:t>Vu l'issue de la cause, les frais de révision, arrêtés à 770 fr. (art. 21 TFJP [Tarif des frais judiciaires pénaux du 28 septembre 2010, RSV 312.03.1], par renvoi de l'art. 22 TFJP), ainsi que l’indemnité allouée au défenseur d’office de D.________, par 1'166 fr. 40, correspondant à 6 heures d’activité au tarif horaire de 180 fr., TVA et débours compris, sont mis à la charge du requérant (art. 428 al. 1 CPP). D.________ ne sera tenu de rembourser à l’Etat le montant de l’indemnité en faveur de son défenseur d’office que lorsque sa situation financière le permettra (art. 135 al. 4 let. a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