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PE11.009082 vom 12. März 2012</w:t>
      </w:r>
    </w:p>
    <w:p>
      <w:r>
        <w:t>VD Tribunal cantonal, 2012-03-12, FR</w:t>
      </w:r>
    </w:p>
    <w:p>
      <w:r>
        <w:rPr>
          <w:b/>
        </w:rPr>
        <w:t xml:space="preserve">Quelle: </w:t>
      </w:r>
      <w:r>
        <w:t>https://mcp.opencaselaw.ch/entscheid/vd_gerichte_PE11.009082</w:t>
      </w:r>
    </w:p>
    <w:p>
      <w:r>
        <w:t>FR: VD_GERICHTE PE11.009082 du 12 mars 2012</w:t>
      </w:r>
    </w:p>
    <w:p>
      <w:r>
        <w:t>IT: VD_GERICHTE PE11.009082 del 12 marzo 2012</w:t>
      </w:r>
    </w:p>
    <w:p>
      <w:pPr>
        <w:pStyle w:val="Heading2"/>
      </w:pPr>
      <w:r>
        <w:t>Erwägungen</w:t>
      </w:r>
    </w:p>
    <w:p>
      <w:r>
        <w:rPr>
          <w:b/>
        </w:rPr>
        <w:t>E. 1</w:t>
      </w:r>
    </w:p>
    <w:p>
      <w:r>
        <w:t>Aux termes de l’art. 393 al. 1 let. c CPP (Code de procédure pénale suisse;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Nonobstant la formulation de cette disposition, qui ne prévoit apparemment pas le recours du Ministère public, le Tribunal fédéral a considéré que le silence de la loi à propos du droit de recours du Ministère public n’était pas intentionnel, mais résultait d’un oubli du législateur, et que l’intérêt public à une bonne administration de la justice commandait de reconnaître au Ministère public le droit d’interjeter un recours, au sens des art. 393 ss CPP, contre une décision de mise en liberté rendue par le Tribunal des mesures de contrainte (ATF 137 IV 22 c.</w:t>
      </w:r>
    </w:p>
    <w:p>
      <w:r>
        <w:rPr>
          <w:b/>
        </w:rPr>
        <w:t>E. 1.2</w:t>
      </w:r>
    </w:p>
    <w:p>
      <w:r>
        <w:t>à 1.4 et les références citées, jurisprudence confirmée ultérieurement à l’ATF 137 IV 87 et à l’ATF 137 IV 230 c. 1). Adressé par écrit, dans le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 RSV 312.01]; art. 80 LOJV [loi d’organisation judiciaire; RSV 173.01]), le recours est donc recevable.</w:t>
      </w:r>
    </w:p>
    <w:p>
      <w:r>
        <w:rPr>
          <w:b/>
        </w:rPr>
        <w:t>E. 2</w:t>
      </w:r>
    </w:p>
    <w:p>
      <w:r>
        <w:t>a) Selon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w:t>
      </w:r>
    </w:p>
    <w:p>
      <w:r>
        <w:t>- 7 - Selon l’art. 212 al. 3 CPP – qui concrétise les art. 31 al. 3 Cst. (Constitution fédérale de la Confédération suisse du 18 avril 1999; RS 101) et 5 par. 3 CEDH (Convention du 4 novembre 1950 de sauvegarde des droits de l’homme et des libertés fondamentales; RS 0.101), en vertu desquels toute personne qui est mise en détention préventive a le droit d’être jugée dans un délai raisonnable ou d’être libérée pendant la procédure pénale –, la détention provisoire et la détention pour des motifs de sûreté ne doivent pas durer plus longtemps que la peine privative de liberté prévisible. b) En l’espèce, il existe manifestement des présomptions sérieuses de culpabilité et les risques de fuite et de réitération sont manifestes, ayant d’ailleurs été admis par le Tribunal des mesures de contrainte. Par ailleurs, au vu des faits qui lui sont reprochés – soit la vente de 79.2 grammes de cocaïne et la détention de 54.5 grammes de cette drogue, dont le degré de pureté moyenne en cocaïne des échantillons analysés est de 23.7% –, le recourant est susceptible d’être condamné à une peine privative de liberté d’un an au moins (art. 19 al. 2 let. a LStup), étant rappelé selon la jurisprudence constante relative à l'art. 19 LStup, la vente de 18 grammes de cocaïne pure suffit à mettre en danger la santé de nombreuses personnes (ATF 122 IV 360 c. 2a; ATF 120 IV 334 c. 2a; ATF 119 IV 180 c. 2d; ATF 109 IV 143 c. 3). Le principe de la proportionnalité demeure donc respecté.</w:t>
      </w:r>
    </w:p>
    <w:p>
      <w:r>
        <w:rPr>
          <w:b/>
        </w:rPr>
        <w:t>E. 3</w:t>
      </w:r>
    </w:p>
    <w:p>
      <w:r>
        <w:t>Il reste ainsi à examiner si la prolongation de la détention provisoire du recourant se heurterait au principe de la célérité, comme l’a estimé le Tribunal des mesures de contrainte. a) Concrétisant le principe de la célérité consacré par l’art. 29 al. 1 Cst., l'art. 5 CPP impose aux autorités pénales d'engager les procédures pénales sans délai et de les mener à terme sans retard injustifié (al. 1), la procédure devant être conduite en priorité lorsqu'un prévenu est placé en détention (al. 2). L'incarcération peut être considérée comme disproportionnée en cas de retard injustifié dans le cours de la</w:t>
      </w:r>
    </w:p>
    <w:p>
      <w:r>
        <w:t>- 8 - procédure pénale (ATF 128 I 149 c. 2.2.1; ATF 123 I 268 c. 3a; ATF 116 Ia 147 c. 5a; ATF 107 Ia 257 c. 2 et 3). Il doit toutefois s'agir d'un manquement particulièrement grave, faisant au surplus apparaître que l'autorité de poursuite pénale n'est plus en mesure de conduire la procédure à chef dans un délai raisonnable (ATF 128 I 149 c. 2.2.1). Le caractère raisonnable de la durée d'une procédure pénale s'apprécie selon les circonstances particulières de la cause, eu égard en particulier à la complexité de l'affaire, au comportement du requérant et à celui des autorités compétentes, ainsi qu'à l'enjeu du litige pour l'intéressé (ATF 133 I 270 c. 3.4.2 et les arrêts cités). Après la clôture de l'instruction, le prévenu doit en principe être renvoyé devant le juge du fond dans un délai qui, pour être conforme aux exigences des art. 10 Cst., 5 CPP et 5 par. 3 CEDH, ne devrait pas excéder quelques semaines, voire quelques mois (TF 1B_684_2011 du 21 décembre 2011 c. 3.1; cf. TF 1B_419/2011 du 13 septembre 2011 c. 2.1 pour les durées jugées conformes au principe de la célérité). b) En l’espèce, il appert que depuis la dernière ordonnance du Tribunal des mesures de contrainte du 29 novembre 2011, une confrontation entre le prévenu et une autre personne a été organisée le 30 novembre 2011, une ordonnance de séquestre concernant le prévenu a été rendue le 17 février 2012 et le rapport de synthèse de la police de sûreté du 20 février 2012 a été déposé en copie le 23 février 2012 (P. 45) et en original le 27 février 2012 (P. 49). Comme l’indique le Procureur dans son recours, le dossier va ainsi, après ces opérations nécessaires qui ont été conduites sans retard excessif, pouvoir être mis en prochaine clôture (art. 318 al. 1 CPP) après une audition récapitulative du prévenu et l’acte d’accusation rédigé en vue d’un prochain renvoi devant un tribunal, de sorte que le principe de la célérité apparaît encore respecté. Vu l’existence de risques de fuite et de réitération et dès lors que la durée de la détention provisoire demeure proportionnée au regard de la peine encourue (cf. c. 2b supra), la détention provisoire du recourant doit être prolongée pour une durée de trois mois (art. 227 al. 7 CPP).</w:t>
      </w:r>
    </w:p>
    <w:p>
      <w:r>
        <w:t>- 9 -</w:t>
      </w:r>
    </w:p>
    <w:p>
      <w:r>
        <w:rPr>
          <w:b/>
        </w:rPr>
        <w:t>E. 4</w:t>
      </w:r>
    </w:p>
    <w:p>
      <w:r>
        <w:t>Il résulte de ce qui précède que le recours du Ministère public, fondé, doit être admis et l’ordonnance attaquée réformée en ce sens que la prolongation de la détention provisoire de X.________ est ordonnée et que la durée maximale de la prolongation est fixée à trois mois, soit au plus tard jusqu’au 7 juin 2012. Les frais de la procédure de recours, constitués en l’espèce de l’émolument d'arrêt, par 880 fr. (art. 20 al. 1 TFJP [tarif des frais judiciaires pénaux; RSV 312.03.1]) et des frais imputables à la défense d’office (art. 422 al. 1 et 2 let. a CPP), fixés à 360 fr. plus la TVA par 28 fr. 80, soit un total de 388 fr. 80,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I. Le recours est admis. II. L'ordonnance du 2 mars 2012 est réformée comme suit aux chiffres I et II de son dispositif: "I. Ordonne la prolongation de la détention provisoire de X.________. II. Fixe la durée maximale de la prolongation à trois mois, soit au plus tard jusqu'au 7 juin 2012." III. L'indemnité allouée au défenseur d'office de X.________ est fixée à 388 fr. 80 (trois cent huitante-huit francs et huitante centimes). IV. Les frais d'arrêt, par 880 fr. (huit cent huitante francs), ainsi que l'indemnité due au défenseur d'office de X.________, par</w:t>
      </w:r>
    </w:p>
    <w:p>
      <w:r>
        <w:t>- 10 - 388 fr. 80 (trois cent huitante-huit francs et huitante centimes), sont mis à la charge de ce dernier. V. Le remboursement à l'Etat de l'indemnité allouée au chiffre III ci-dessus sera exigible pour autant que la situation économique du recourant se soit améliorée. VI. Le présent arrêt est exécutoire. Le président : La greffière : Du L'arrêt qui précède, dont la rédaction a été approuvée à huis clos, est notifié, par l'envoi d'une copie complète, à : - M. Laurent Gilliard, avocat (pour X.________) (et par fax), - Ministère public central (et par fax), et communiqué à : - Mme la Présidente du Tribunal des mesures de contrainte (et par fax), - M. le Procureur de l'arrondissement du Nord vaudois (et par fax), - Direction de la prison du Bois-Mermet (et par fax), par l’envoi de photocopies.</w:t>
      </w:r>
    </w:p>
    <w:p>
      <w:r>
        <w:t>- 11 -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