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PE11.008713 vom 4. Juni 2011</w:t>
      </w:r>
    </w:p>
    <w:p>
      <w:r>
        <w:t>VD Tribunal cantonal, 2011-06-04, FR</w:t>
      </w:r>
    </w:p>
    <w:p>
      <w:r>
        <w:rPr>
          <w:b/>
        </w:rPr>
        <w:t xml:space="preserve">Quelle: </w:t>
      </w:r>
      <w:r>
        <w:t>https://mcp.opencaselaw.ch/entscheid/vd_gerichte_PE11.008713</w:t>
      </w:r>
    </w:p>
    <w:p>
      <w:r>
        <w:t>FR: VD_GERICHTE PE11.008713 du 4 juin 2011</w:t>
      </w:r>
    </w:p>
    <w:p>
      <w:r>
        <w:t>IT: VD_GERICHTE PE11.008713 del 4 giugno 2011</w:t>
      </w:r>
    </w:p>
    <w:p>
      <w:pPr>
        <w:pStyle w:val="Heading2"/>
      </w:pPr>
      <w:r>
        <w:t>Volltext</w:t>
      </w:r>
    </w:p>
    <w:p>
      <w:r>
        <w:t>TRIBUNAL CANTONAL 537 PE11.008713-PVU CHAMBRE DE S RECO URS PEN ALE __________________________________________ Séance du 7 décembre 2011 __________________ Présidence de M. KRIEGER, président Juges : Mmes Epard et Byrde Greffière : Mme de Watteville ***** Art. 222, 227, 237, 393 al. 1 let. c CPP Vu l'enquête n° PE11.008713-PVU instruite d'office par le Ministère public de l'arrondissement du Nord vaudois contre T.________ pour infraction grave à la loi fédérale sur les stupéfiants (LStup; RS 812.121), vu l'ordonnance du 4 juin 2011 par laquelle le Tribunal des mesures de contrainte a ordonné la détention provisoire de T.________, vu la demande de mesure de substitution à la détention provisoire adressée le 7 novembre 2011 par T.________ au Ministère public, vu la demande de prolongation de la détention provisoire et la prise de position du procureur sur la demande de mesure de substitution du 11 novembre 2011 adressées au Tribunal des mesures de contrainte, vu l'ordonnance du 21 novembre 2011 par laquelle le Tribunal des mesures de contrainte a refusé d'ordonner une mesure de substitution 351</w:t>
      </w:r>
    </w:p>
    <w:p>
      <w:r>
        <w:t>- 2 - à la détention provisoire de T.________ et a ordonné la prolongation de sa détention provisoire pour une durée maximale de trois mois, soit au plus tard jusqu'au 2 mars 2012, vu le recours interjeté le 2 décembre 2011 par T.________ contre cette décision, vu les pièces du dossier; attendu que T.________ conclut à l'annulation de l'ordonnance rendue par le Tribunal des mesures de contrainte, au renvoi du dossier pour nouvelle décision et à l'injonction faite au Tribunal des mesures de contrainte de procéder aux mesures d'instructions sollicitées par la recourante;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T.________ invoque une violation de son droit d'être entendue dans la mesure où le premier juge n'a pas répondu à sa requête d'être entendue oralement et n'a pas procédé à l'audition de différents témoins, qu'en vertu de l'art. 227 al. 6 CPP, la procédure de demande de prolongation de la détention provisoire se déroule en principe par écrit, que la recourante a eu l'occasion de se déterminer par écrit conformément à l'art. 227 al. 3 CPP, que le premier juge a motivé dans son jugement l'absence de nécessité, pour le cas d'espèce, d'entendre oralement la prévenue (décision entreprise p. 3), qu'il n'avait pas à le faire avant,</w:t>
      </w:r>
    </w:p>
    <w:p>
      <w:r>
        <w:t>- 3 - qu'à cette occasion, la prévenue a sollicité l'audition de trois témoins, que les éléments au dossier étant suffisants, c'est à raison qu'au stade de la détention provisoire, le Tribunal des mesures de contrainte a refusé l'audition des témoins, qu'au demeurant, une réactivation de l'expertise psychiatrique a été demandée par le procureur, que seule celle-ci pourra attester de manière objective de l'évolution de la recourante, qu'en conséquence, il n'y a pas eu de violation du droit d'être entendu par le Tribunal des mesures de contrainte; attendu que la recourante, à juste titre, ne conteste pas les indices suffisants sur le risque de récidive manifeste dans la mesure où elle a déjà été condamnée pour infraction grave à la LStup, qu'elle est renvoyée pour cette infraction et qu'elle a commis de nouvelles infractions en matière de LStup, qu'elle demande à pouvoir suivre un traitement institutionnel de sa toxicomanie auprès de la Fondation des Oliviers, à titre de mesure de substitution,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w:t>
      </w:r>
    </w:p>
    <w:p>
      <w:r>
        <w:t>- 4 -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(Schmocker, op. cit., n. 5 ad art. 237 CPP, p. 1100); attendu que la mise en détention provisoire n’est possible que s’il existe à l’égard de l’auteur présumé, et préalablement à toute autre cause, de graves soupçons de culpabilité d’avoir commis un crime ou un délit (TF 1B_182/2011 du 5 mai 2011 c. 3.1; Schmocker, op. cit.,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T.________ a été appréhendée le 2 juin 2011 dans le train de Genève à Lausanne alors qu'elle était cachée dans les toilettes, à confectionner quelques sachets d'héroïne, qu'elle a reconnu s'être rendue à Genève pour acheter de l'héroïne (PV aud. 1),</w:t>
      </w:r>
    </w:p>
    <w:p>
      <w:r>
        <w:t>- 5 - qu'elle aurait acquis quatre paquets de cinq grammes pour 600 fr. et reçu un cinquième paquet, qu'elle aurait acheté cette drogue pour son usage personnel et pour en échanger une partie contre des Dormicum (PV aud. 2), qu'au moment de son interpellation, elle détenait encore plusieurs flacons de méthadone destiné à son ami, que [...], entendue à titre de renseignement, a reconnu T.________ comme étant celle qui lui aurait vendu de l'héroïne (PV aud. 5), qu'au vu de ce qui précède, il existe contre T.________ des présomptions de culpabilité suffisantes; attendu que la décision attaquée se fonde sur le risque de réitération,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du casier judiciaire que T.________ a déjà été condamnée le 24 septembre 2007 par le Tribunal correctionnel de Lausanne pour contravention et infraction grave à la LStup et infraction à la loi sur la circulation routière ( LCR; RS 741.01) à une peine privative de liberté de douze mois, que le 2 mai 2008, elle a été condamnée pour contravention à la LStup,</w:t>
      </w:r>
    </w:p>
    <w:p>
      <w:r>
        <w:t>- 6 - qu'en outre, une autre enquête est ouverte, en parallèle à la présente procédure, contre T.________ pour infraction à la LStup auprès du Ministère public de l'arrondissement de Lausanne (PE11.007418-JON), que le risque de réitération justifie ainsi son maintien en détention provisoire; attendu que l'obligation de se soumettre à un traitement médical ou à des contrôles constitue une mesure de substitution au sens de l'art. 237 al. 2 let. f CPP, qu'une telle mesure serait envisageable sous la forme d'une admission volontaire dans une institution, le prévenu étant libéré au moment de son entrée dans l'institution, et la libération étant conditionnée au suivi du séjour dans l'institution, qu'en l'espèce, toutefois, compte tenu de l'échec des séjours déjà effectués auprès de la Fondation des Oliviers et de la Fondation du Levant, et de la récidive qui s'en est suivie, le placement institutionnel de la recourante n'est pas suffisant pour écarter le risque de récidive, qu'il convient d'attendre le résultat de l'expertise psychiatrique ordonnée par le procureur afin de déterminer si un traitement des addictions est susceptible d'être prononcé, qu'en conséquence, c'est à juste titre que le Tribunal des mesures de contrainte a refusé d'ordonner une mesure de substitution, qu'enfin, l'exécution anticipée d'une mesure est de la compétence de la direction de la procédure (art. 236 al. 2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la recourante encourt une peine privative de liberté d’une durée supérieure à celle de la détention subie jusqu’à présent,</w:t>
      </w:r>
    </w:p>
    <w:p>
      <w:r>
        <w:t>- 7 - qu'en outre, l'instruction touche à son terme, le procureur attendant le rapport psychiatrique pour transmettre le dossier au Ministère public de l'arrondissement de Lausanne afin qu'il dresse l'acte d'accusation et renvoie l'affaire devant le Tribunal correctionnel, qu'en conséquence, le principe de proportionnalité des intérêts en présence demeure respecté; attendu, en définitive, que le recours manifestement mal fondé doit être rejeté sans autres échanges d'écriture (art. 390 CPP) et l'ordonnance confirmée, que les frais de la présente procédure de recours constitués des émoluments du présent arrêt (art. 422 al. 1 CPP), par 770 fr. (art. 20 al. 1 TFJP; RSV 312.03.1), et des frais imputables à la défense d'office (art. 422 al. 1 et 2 let. a CPP) fixés à 540 fr., plus la TVA, par 43 fr. 20, soit un total de 583 fr. 20, sont mis à la charge de la recourante qui succombe (art. 428 al. 1 CPP), que le remboursement à l'Etat de l'indemnité allouée au défenseur d'office de T.________ ne sera toutefois exigible que pour autant que la situation économique de cette dernière se soit améliorée (art. 135 al. 4 CPP). Par ces motifs, la Chambre des recours pénale, statuant à huis clos : I. Rejette le recours. II. Confirme l'ordonnance. III. Fixe à 583 fr. 20 (cinq cent huitante trois francs et vingt centimes) l'indemnité allouée au défenseur d'office de T.________. IV. Dit que les frais du présent arrêt, par 770 fr. (sept cent septante francs), ainsi que l'indemnité due au défenseur d'office de T.________, par 583 fr. 20 (cinq cent huitante trois francs et vingt centimes), sont mis à la charge de cette dernière.</w:t>
      </w:r>
    </w:p>
    <w:p>
      <w:r>
        <w:t>- 8 - V. Dit que le remboursement à l'Etat de l'indemnité allouée au chiffre III ci-dessus sera exigible pour autant que la situation économique de T.________ se soit améliorée. VI. Déclare le présent arrêt exécutoire. Le président : La greffière : Du L'arrêt qui précède, dont la rédaction a été approuvée à huis clos, est notifié, par l'envoi d'une copie complète, à : - M. David Moinat, avocat (pour T.________),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