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PE11.005571 vom 12. Dezember 2013</w:t>
      </w:r>
    </w:p>
    <w:p>
      <w:r>
        <w:t>VD Tribunal cantonal, 2013-12-12, FR</w:t>
      </w:r>
    </w:p>
    <w:p>
      <w:r>
        <w:rPr>
          <w:b/>
        </w:rPr>
        <w:t xml:space="preserve">Quelle: </w:t>
      </w:r>
      <w:r>
        <w:t>https://mcp.opencaselaw.ch/entscheid/vd_gerichte_PE11.005571</w:t>
      </w:r>
    </w:p>
    <w:p>
      <w:r>
        <w:t>FR: VD_GERICHTE PE11.005571 du 12 décembre 2013</w:t>
      </w:r>
    </w:p>
    <w:p>
      <w:r>
        <w:t>IT: VD_GERICHTE PE11.005571 del 12 dicembre 2013</w:t>
      </w:r>
    </w:p>
    <w:p>
      <w:pPr>
        <w:pStyle w:val="Heading2"/>
      </w:pPr>
      <w:r>
        <w:t>Erwägungen</w:t>
      </w:r>
    </w:p>
    <w:p>
      <w:r>
        <w:rPr>
          <w:b/>
        </w:rPr>
        <w:t>E. 4</w:t>
      </w:r>
    </w:p>
    <w:p>
      <w:r>
        <w:t>T.________ conteste l'internement prononcé à son encontre. Selon lui, rien ne s'oppose à la mise en place d'un traitement institutionnel au sens de l'art. 59 CP, les premiers juges ayant à ses yeux fait une mauvaise lecture de l'expertise en lui refusant cette possibilité.</w:t>
      </w:r>
    </w:p>
    <w:p>
      <w:r>
        <w:rPr>
          <w:b/>
        </w:rPr>
        <w:t>E. 4.1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(cf. TF 6B_313/2010 du 1er octobre 2010 c. 3.2.1).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w:t>
      </w:r>
    </w:p>
    <w:p>
      <w:r>
        <w:t>- 37 -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 6.3; ATF 135 IV 49 c. 1.1.2). Il faut être conscient qu'il est aléatoire et difficile d'évaluer le degré de dangerosité d'un délinquant et, partant, que tout pronostic de dangerosité est incertain (ATF 127 IV 1 c. 2a). Le taux de fiabilité est encore plus faible s'agissant de délinquants primaires qui ne souffrent d'aucun trouble mental, dans la mesure où les précédentes infractions constituent l'indice le plus fiable pour évaluer la dangerosité (Heer, Basler Kommentar, Strafrecht I, n. 51 ad art. 64 CP). Selon la doctrine, l'internement ne devrait donc être ordonné que dans des cas extrêmes à l'égard de délinquants primaires dangereux qui ne présentent pas de trouble au sens de la psychiatrie (Heer, op. cit., loc. cit.; TF 6B_354/2012 du 2 novembre 2012). Mais, s'agissant de la décision sur le pronostic, le principe in dubio pro reo n'est pas applicable (ATF 127 IV 1 c. 2a).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w:t>
      </w:r>
    </w:p>
    <w:p>
      <w:r>
        <w:t>- 38 - 121 c. 3.4.4),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"incurable" et interné dans un établissement d'exécution des peines (ATF 134 IV 315 c. 3.2 et 3.3; ATF 134 IV 121, précité, c. 3.4.2).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 3.4.1; TF, 6B_77/2012 du 18 juin 2012; TF, 6B_784/2010 du 2 décembre 2010 c. 2.1).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w:t>
      </w:r>
    </w:p>
    <w:p>
      <w:r>
        <w:t>- 39 - et bien établis en ébranlent sérieusement la crédibilité; il est alors tenu de motiver sa décision de ne pas suivre le rapport d'expertise (ATF 133 II 384 c. 4.2.3; ATF 129 I 49 c. 4; ATF 128 I 81 c. 2).</w:t>
      </w:r>
    </w:p>
    <w:p>
      <w:r>
        <w:rPr>
          <w:b/>
        </w:rPr>
        <w:t>E. 4.2</w:t>
      </w:r>
    </w:p>
    <w:p>
      <w:r>
        <w:t>En l'espèce, T.________ s'est notamment rendu coupable de contrainte sexuelle et de viol qualifiés. Il a ainsi commis des infractions envisagées dans la clause générale de l'art. 64 al. 1 CP. En abusant avec contrainte et de manière sordide de plusieurs enfants, il a porté gravement et délibérément atteinte à l'intégrité sexuelle d'autrui. Le critère de la gravité requis par la jurisprudence est ici réalisé.</w:t>
      </w:r>
    </w:p>
    <w:p>
      <w:r>
        <w:rPr>
          <w:b/>
        </w:rPr>
        <w:t>E. 4.3</w:t>
      </w:r>
    </w:p>
    <w:p>
      <w:r>
        <w:t>Dans leur rapport du 30 avril 2013, les experts ont posé les diagnostics de pédophilie (F. 65.4) et de trouble de personnalité, sans précision (traits narcissiques et pervers) (F 60.9). Selon les experts, la perception de ses actes par T.________ est toujours la même: après une phase de déni, il finit par reconnaître les faits quand il est confronté à ses propres contradictions. Les médecins relèvent également une tendance récurrente à la banalisation et à la minimisation des faits. L'expertisé parvient rarement à s'attribuer une responsabilité dans ses actes, responsabilité qui est largement projetée sur l'entourage (par ex. les épouses), le hasard (c'est le hasard qu'il tombe sur des photos pédopornographiques sur Internet, par hasard qu'il agresse A.E.________), une sorte de fatalité, et surtout les victimes elles-mêmes, qui seraient avant tout responsables de ne pas lui avoir posé de limites alors que selon lui, elles avaient les connaissances requises pour le faire. Elles étaient pour lui consentantes et non pas effrayées. Les experts ont encore souligné que, dans la perception d'T.________, il n'y avait pas de violence dans ses actes, quand bien même il était confronté à la menace, à la contrainte et la séquestration exercées sur A.E.________. Au demeurant, du fait de son impuissance, il s'exempte de l'accusation de viol. Il nie également toute excitation de type urophilique, tout rituel de nettoyage, malgré leur aspect récurrent. A plusieurs reprises, il a sous-entendu que l'enfant avait pu prendre du plaisir, et nie complètement le sien propre, nie toute pulsion sexuelle au moment des actes, avant ou après. Selon les</w:t>
      </w:r>
    </w:p>
    <w:p>
      <w:r>
        <w:t>- 40 - experts, l'empathie est particulièrement déficiente. Déniant toute violence à ses actes, l'expertisé n'identifie pas la peur de l'enfant et la voit comme participant à l'abus dont elle est victime. Il s'agit d'une inversion perceptive, quand il perçoit que l'enfant prend du plaisir à ce qui lui est fait, tout comme il inverse, sur un plan cognitif, les responsabilités. Les experts ont ajouté que, dans sa perception actuelle de son traitement, T.________ se disait aidé mais se positionnait de façon passive: ce n'était pas lui qui allait comprendre ou intégrer quelque chose, ce sont les médecins qui devaient lui dire ce qui n'allait pas, et même là, c'était son cerveau qu'il n'allait pas, comme s'il s'agissait d'une instance externe qui le dirigeait. A nouveau, la responsabilité n'est ainsi pas sienne, ni dans l'étiologie éventuelle des troubles, ni dans la participation au traitement. Pour les experts, T.________ présente au demeurant un risque de récidive élevé, dans des infractions probablement de même nature que les faits qui lui sont aujourd'hui reprochés. Au vu de ce qui précède, il faut admettre, avec les premiers juges qu'T.________ souffre d'un grave trouble mental récurrent et que les infractions commises sont directement liées à son état mental. Il présente également un risque de récidive et sa dangerosité est majeure. C'est à juste titre dans ces circonstances que le tribunal a considéré que la peine infligée à T.________ devait, sur le principe, être assortie d'une mesure. Reste à déterminer laquelle, de l'internement ou de la mesure institutionnelle, doit être prononcée dans le cas particulier.</w:t>
      </w:r>
    </w:p>
    <w:p>
      <w:r>
        <w:rPr>
          <w:b/>
        </w:rPr>
        <w:t>E. 4.4</w:t>
      </w:r>
    </w:p>
    <w:p>
      <w:r>
        <w:t>En présence d'un trouble psychiatrique, l'internement fondé sur l'art. 64 al. 1 let. b CP constitue, conformément au principe de la proportionnalité, une mesure subsidiaire par rapport à une mesure institutionnelle au sens de l'art. 59 CP. Il y a donc lieu d'examiner si une telle mesure, exécutée au besoin dans le cadre prévu par l'art. 59 al. 3 CP, serait susceptible – comme le prétend l'appelant – de le détourner de commettre de nouvelles infractions en rapport avec ce trouble. Dans le cadre de leur expertise, les experts ont indiqué qu'un traitement psychothérapeutique pouvait toujours être tenté mais, au vu de</w:t>
      </w:r>
    </w:p>
    <w:p>
      <w:r>
        <w:t>- 41 - l'ancienneté et de la sévérité du trouble, le pronostic était réservé. De plus, tenter un traitement hors du cadre carcéral présentait à leurs yeux un risque réel au vu de la dangerosité du prévenu, du mauvais pronostic, de l'absence d'intégration de la notion de victimes et des limites imposées par la loi alors que l'intéressé récusait la pertinence de la loi elle-même (P. 278/2, ch. 4 et 8). S'agissant plus précisément de la question d'une dépendance à la cyberpornographie, les experts ont retenu que la question pouvait être débattue tout en soulignant que le traitement de l'addiction n'équivalait pas à traiter la pédophilie préexistante (P. 278/2, ch. 5). Entendue lors des débats de première instance, la Dresse CC.________ a maintenu les conclusions de son rapport, y compris celles préconisant un internement (PV débats, pp. 56 ss). A cet égard, interpellée sur les déclarations du prévenu quant à son évolution, sa guérison ainsi qu'au fait qu'il disait être aujourd'hui un homme nouveau, l'expert a réagi en disant que cela n'était clairement pas possible et qu'il s'agissait au contraire d'un signe d'une perception qui n'était pas correcte, ni des faits, ni de la responsabilité, ni, surtout, de la dangerosité. L'expert a souligné qu'il fallait parfois des années de traitement pour que la personne puisse reconnaître déjà ce qui s'était passé et puisse se l'attribuer. Il s'agissait d'une première étape du traitement, qui consistait à sortir du déni et de la protection. Interpellée expressément sur le point de savoir si un traitement psychothérapeutique serait voué à l'échec, l'expert a répondu que personne ne pouvait l'affirmer. De même, elle a indiqué que, pour elle, aucun psychothérapeute ne pouvait prétendre qu'une personne pédophile puisse être guérie. A ses yeux, ce que l'on pouvait dire éventuellement, c'était que les progrès étaient suffisants pour que la dangerosité puisse être contrôlée ce qui, dans le cas d'espèce, correspondait à "des années de traitement". Interrogée sur le fait qu'elle préconisait un internement, et non un traitement en institution, l'expert s'est exprimée en ces termes: "Pour moi, il est une caractéristique de la perversion et la transgression et la jouissance considérable qui l’accompagne. En outre s’ajoute le déni qui a été constant. De mon point de vue, seule une incarcération définit un cadre suffisant pour que cela soit intégré. Il n'est pas possible et envisageable de prendre en psychothérapie l’intéressé pour lui faire comprendre que quelque chose est mal si on le fait hors du</w:t>
      </w:r>
    </w:p>
    <w:p>
      <w:r>
        <w:t>- 42 - contexte carcéral. Cette intégration est possible parce que le contexte d’enfermement est présent et pour qu’il intègre que ce qu’il a fait est mal. En l’espèce M. T.________ n’intègre pas du tout. Il parle par exemple de la prison comme d'un camp de vacances. L’intégration et la dimension de sanction risquent de prendre beaucoup de temps et il est difficile à imaginer hors du contexte carcéral. Vous m’indiquez qu’une mesure institutionnelle peut être menée en milieu carcéral. Pour moi, il convient à nouveau que ce suivi s’opère en milieu carcéral et non pas en milieu hospitalier. Le temps nécessaire pour qu’une telle intégration soit possible implique une longue durée. Vous m’évoquez cinq ans. On ne peut prédire la durée d’un tel processus, mais cinq ans ne me paraissent pas une très longue durée dans une thérapie de ce genre. (...) Pour répondre à Me Devaud qui m’évoque les actes finalement qui s’étendent sur près de 30 ans et qui m’interpelle sur la perspective de guérison. Comme je l’ai dit tout à l’heure, on ne peut jamais dire qu'un pédophile est guéri. Tout ce que l’on peut dire, c’est qu’il ait fait suffisamment de progrès pour que la dangerosité soit sous contrôle. Pour répondre à Me Rouvinez, du point de vue médical, le critère qui fait l’échec ou non à un traitement s’agissant d’un pédophile ne peut pas être défini en terme de guérison. Ce sont des traitements sur le long court et qui ne sont efficaces que quand la personne a suffisamment fait de progrès pour que sa dangerosité soit sous contrôle. L’échec ne s’évoque pas en termes de guérison ou de non guérison." (PV débats, p. 59 s.) Au vu de ce qui précède, l'analyse à laquelle le tribunal a procédé en première instance quant à la nécessité d'opter pour un internement doit être confirmée. En effet, le prononcé d'un traitement institutionnel suppose que la mesure détournera l'auteur de nouvelles infractions en relation avec son trouble, dans une durée maximale de cinq ans. Or, en l'espèce, l'expert a évoqué la difficulté de soigner un pédophile du type du prévenu, à tel point qu'elle a estimé qu'un pédophile n'était jamais vraiment guéri. Quoi qu'il en soit, l'expert a constamment évoqué un traitement de longue durée et sur le long terme, précisant à cet égard qu'une durée de cinq ans ne pouvait être considérée comme une période significative ou suffisante. A lire l'expertise, le travail est manifestement de bien plus longue haleine, afin qu'T.________ – qui nie encore toute problématique et s'estime aujourd'hui guéri – puisse franchir la première étape d'un processus d'amélioration de ses troubles en sortant du déni de sa maladie et de sa dangerosité. A cet égard, le prévenu n'a pas fait une impression différente depuis qu'il est sous l'autorité de la Cour de céans, que ce soit dans le cadre des divers écrits produits ou lors de sa comparution aux débats d'appel, où il a persévéré dans son attitude de déni.</w:t>
      </w:r>
    </w:p>
    <w:p>
      <w:r>
        <w:t>- 43 - Mal fondé, le moyen ne peut qu'être rejeté et l'internement confirmé.</w:t>
      </w:r>
    </w:p>
    <w:p>
      <w:r>
        <w:rPr>
          <w:b/>
        </w:rPr>
        <w:t>E. 5</w:t>
      </w:r>
    </w:p>
    <w:p>
      <w:r>
        <w:t>En définitive, l'appel d'T.________ doit être rejeté, l'appel du Ministère public partiellement admis et le jugement réformé dans le sens des considérants. Il sera confirmé pour le surplus. La détention subie par T.________ depuis le jugement de première instance sera déduite. Le maintien en détention du prévenu pour des motifs de sûreté sera ordonné. Vu l’issue de la cause, les frais de la procédure d'appel seront mis à la charge du prévenu, qui succombe (art. 428 al. 1 CPP). Ces frais comprennent l'émolument de jugement (art. 21 al. 1 et 2 TFIP [Tarif des frais de procédure et indemnités en matière pénale du 28 septembre 2010, RSV 312.03.1]) ainsi l'indemnité allouée à son défenseur d'office, d'une part, et aux conseils d'office des plaignants D.E.________ et B.A.________, d'autre part (art. 135 al. 2 CPP; art. 422 al. 2 let. a CPP; art. 2 al. 2 ch. 1 TFIP). Me Fontana indique avoir consacré quelque 125 heures 30 à la défense des intérêts d'T.________, hors temps d'audience, auquel elle ajoute un montant de 1'183 fr. à titre de dépens et la TVA. Le nombre des heures invoquées par le défenseur d'office est exagéré. Certes, l'avocate, qui n'est intervenue qu'au stade de la procédure d'appel, a dû prendre possession d'un dossier volumineux et faire connaissance avec son client. 15 heures peuvent ainsi être retenues pour la prise en main du dossier et</w:t>
      </w:r>
    </w:p>
    <w:p>
      <w:r>
        <w:rPr>
          <w:b/>
        </w:rPr>
        <w:t>E. 10</w:t>
      </w:r>
    </w:p>
    <w:p>
      <w:r>
        <w:t>heures pour 4 conférences avec le client en prison et les opérations liées à ces visites, notamment la rédaction d'une déclaration d'appel qui, on le relève, n'a été que très sommairement motivée. A cela doivent s'ajouter encore 7 heures pour la préparation des débats, 3 heures d'audience et 3 heures pour les divers courriers figurant au dossier. Tout bien considéré, c'est une indemnité de 6'840 fr., correspondant à 38 heures de travail, à laquelle il y a lieu d'ajouter un montant forfaitaire de</w:t>
      </w:r>
    </w:p>
    <w:p>
      <w:r>
        <w:t>- 44 - 600 fr. à titre de vacations et de 300 fr. pour les débours, en sus de la TVA par 619 fr. 20, soit un montant total de 8'359 fr. 20, qui sera allouée à Me Fontana. Le temps invoqué par le conseil d'office de A.E.________, C.E.________ et D.E.________ est également trop élevé, dès lors que l'appel n'était pas motivé et que l'avocate connaissait parfaitement le dossier. 15 heures de travail peuvent être retenues en ce qui la concerne, temps d'audience compris, auxquelles s'ajouteront les débours, par 180 fr., et la TVA, par 230 fr. 40, soit un total de 3'110 fr. 40. Le montant réclamé par Me Burnand pour la défense des intérêts de A.A.________ et B.A.________ est adéquat. Ainsi, son indemnité d'office sera fixée à 2'280 fr., montant auquel s'ajoutera une vacation, par 120 fr., et la TVA, par 192 fr., ce qui représente un total de 2'592 francs. T.________ ne sera tenu de rembourser à l'Etat le montant des indemnités allouées à son défenseur d'office et aux conseils d'office des plaignants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