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PE11.005337 vom 2. April 2012</w:t>
      </w:r>
    </w:p>
    <w:p>
      <w:r>
        <w:t>VD Tribunal cantonal, 2012-04-02, FR</w:t>
      </w:r>
    </w:p>
    <w:p>
      <w:r>
        <w:rPr>
          <w:b/>
        </w:rPr>
        <w:t xml:space="preserve">Quelle: </w:t>
      </w:r>
      <w:r>
        <w:t>https://mcp.opencaselaw.ch/entscheid/vd_gerichte_PE11.005337</w:t>
      </w:r>
    </w:p>
    <w:p>
      <w:r>
        <w:t>FR: VD_GERICHTE PE11.005337 du 2 avril 2012</w:t>
      </w:r>
    </w:p>
    <w:p>
      <w:r>
        <w:t>IT: VD_GERICHTE PE11.005337 del 2 aprile 2012</w:t>
      </w:r>
    </w:p>
    <w:p>
      <w:pPr>
        <w:pStyle w:val="Heading2"/>
      </w:pPr>
      <w:r>
        <w:t>Erwägungen</w:t>
      </w:r>
    </w:p>
    <w:p>
      <w:r>
        <w:rPr>
          <w:b/>
        </w:rPr>
        <w:t>E. 5</w:t>
      </w:r>
    </w:p>
    <w:p>
      <w:r>
        <w:t>Cela étant, il doit être statué sur la peine, également critiquée.</w:t>
      </w:r>
    </w:p>
    <w:p>
      <w:r>
        <w:rPr>
          <w:b/>
        </w:rPr>
        <w:t>E. 5.1</w:t>
      </w:r>
    </w:p>
    <w:p>
      <w:r>
        <w:t>Pour ce qui est de la quotité de la sanction, la faute doit être appréciée au regard de l'art. 47 CP. L'étendue du dommage est un premier élément d'appréciation. Certes, le préjudice causé à la créancière d'aliments et au cessionnaire est relativement modique. Mais la pension l’est aussi, ce qui relativise la portée ce cet élément. La carence du débiteur s'est étendue durant une période prolongée et les aliments n'ont été versés que de manière sporadique, avant de ne plus l'être du tout, ce qui constitue un deuxième facteur d'appréciation. La culpabilité de l’appelant, qui n’a aucunement pris conscience de ses fautes, est lourde, même si son parcours n'avait pas forcément été simple et que quelqu'amertume pouvait se concevoir. Le premier juge a ainsi tenu compte de tous les éléments énoncés par l’art. 47 CP. Ceux pris en compte, tant à charge qu'à décharge, sont complets et pertinents. La peine prononcée se situe dans le cadre légal. Il reste à en déterminer le genre. 5.2.1 A titre de sanctions, le CP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w:t>
      </w:r>
    </w:p>
    <w:p>
      <w:r>
        <w:t>- 16 -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6B_234/2010 du 4 janvier 2011 c. 4.1.1). 5.2.2 Le premier juge a prononcé une courte peine privative de liberté. Le pronostic quant à l'efficacité préventive d'une sanction autre qu'une privation de liberté est défavorable. En effet, l’appelant n’entend strictement rien changer à son comportement et n'a démontré aucune volonté de réparer le dommage de quelque mesure que ce soit. De surcroît, une peine sous la forme de jours-amende rendrait la sanction symbolique vu l'impécuniosité qu'entretient le prévenu (cf. TF 6B_217/2007 du 14 avril 2008, c. 2.1.5 et références citées, BJP 2007 n°190; ATF 134 IV 60 c. 6.5.2 p. 72; ATF 135 IV 180 c. 1.4.2). La question d’un travail d'intérêt général ne se pose au surplus pas, le prévenu s'y étant expressément opposé à l'audience d'appel compte tenu de son état de santé. La peine prononcée doit donc également être confirmée quant à son genre. Quant à sa quotité, elle ne procède pas davantage d'un abus du pouvoir d'appréciation, comme déjà relevé (c. 5.1).</w:t>
      </w:r>
    </w:p>
    <w:p>
      <w:r>
        <w:rPr>
          <w:b/>
        </w:rPr>
        <w:t>E. 6</w:t>
      </w:r>
    </w:p>
    <w:p>
      <w:r>
        <w:t>L'appelant succombant entièrement sur ses conclusions, les frais de la procédure d'appel selon l'art. 424 CPP doivent être mis à sa charge (art. 428 al. 1, 1ère phrase, CPP). Ces frais sont limités à l'émolument d'arrêt (art. 422 al. 1 CPP; art. 20 al. 1 TFJP [tarif des frais judiciaires pénaux; RSV 312.03.1]), l'intimé BRAPA, dispensé de comparaître, n'ayant pas procédé sur l'appel.</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