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PE11.004041 vom 12. September 2012</w:t>
      </w:r>
    </w:p>
    <w:p>
      <w:r>
        <w:t>VD Tribunal cantonal, 2012-09-12, FR</w:t>
      </w:r>
    </w:p>
    <w:p>
      <w:r>
        <w:rPr>
          <w:b/>
        </w:rPr>
        <w:t xml:space="preserve">Quelle: </w:t>
      </w:r>
      <w:r>
        <w:t>https://mcp.opencaselaw.ch/entscheid/vd_gerichte_PE11.004041</w:t>
      </w:r>
    </w:p>
    <w:p>
      <w:r>
        <w:t>FR: VD_GERICHTE PE11.004041 du 12 septembre 2012</w:t>
      </w:r>
    </w:p>
    <w:p>
      <w:r>
        <w:t>IT: VD_GERICHTE PE11.004041 del 12 settembre 2012</w:t>
      </w:r>
    </w:p>
    <w:p>
      <w:pPr>
        <w:pStyle w:val="Heading2"/>
      </w:pPr>
      <w:r>
        <w:t>Erwägungen</w:t>
      </w:r>
    </w:p>
    <w:p>
      <w:r>
        <w:rPr>
          <w:b/>
        </w:rPr>
        <w:t>E. 2</w:t>
      </w:r>
    </w:p>
    <w:p>
      <w:r>
        <w:t>L'appelant a conclu à sa libération des accusations d'injure, de viol et de tentative de viol. Il n'y a donc pas lieu d'examiner les infractions de lésions corporelles simples qualifiées, de voies de fait qualifiées, de menaces qualifiée, de contrainte et de menace contre les autorités et les fonctionnaires. Il requiert également que la peine infligée par les premiers juges soit réduite. Il ne conteste en revanche pas les points V à XII du dispositif.</w:t>
      </w:r>
    </w:p>
    <w:p>
      <w:r>
        <w:rPr>
          <w:b/>
        </w:rPr>
        <w:t>E. 3</w:t>
      </w:r>
    </w:p>
    <w:p>
      <w:r>
        <w:t>A.B.________ conteste s'être rendu coupable de viol. Il soutient n'avoir pas intentionnellement exercé de contrainte sur son épouse. Il n'aurait pas eu conscience du fait que sa femme ne souhaitait pas de relations sexuelles. Il fait valoir que les faits retenus ne sont pas suffisamment détaillés pour que la contrainte soit caractérisée. Il rappelle qu'il a entretenu de nombreux rapports consentis avec son épouse au fil des ans et qu'on ne peut sans autre détail considérer que dans ce nombre il y a eu trois rapports imposés par la contrainte.</w:t>
      </w:r>
    </w:p>
    <w:p>
      <w:r>
        <w:rPr>
          <w:b/>
        </w:rPr>
        <w:t>E. 3.1</w:t>
      </w:r>
    </w:p>
    <w:p>
      <w:r>
        <w:t>Aux termes de l'art. 190 CP, se rend coupable de viol celui qui notamment en usant de menace ou de violence, en exerçant sur sa victime des pressions d'ordre psychique ou en la mettant hors d'état de résister, aura contraint une personne de sexe féminin à subir l'acte sexuel (al. 1).</w:t>
      </w:r>
    </w:p>
    <w:p>
      <w:r>
        <w:rPr>
          <w:b/>
        </w:rPr>
        <w:t>E. 3.2</w:t>
      </w:r>
    </w:p>
    <w:p>
      <w:r>
        <w:t>Le crime réprimé par l'art. 190 CP (comme celui sanctionné par l'art. 189 CP) est une infraction de violence, qui suppose, en règle générale, une agression physique. La violence désigne l'emploi volontaire</w:t>
      </w:r>
    </w:p>
    <w:p>
      <w:r>
        <w:t>- 18 - de la force physique sur la personne de la victime dans le but de la faire céder (ATF 122 IV 97 c. 2b; TF 6B_267/2007 du 3 décembre 2007 c. 6.3; TF 6S.688/1997 du 17 décembre 1997 c. 2b, cité in Wiprächtiger, Aktuelle Praxis des Bundesgerichtes zum Sexualstrafrecht, RPS 1999 p. 121 ss, spéc. p. 133). Il n'est pas nécessaire que la victime soit mise hors d'état de résister ou que l'auteur la maltraite physiquement. Une certaine intensité est néanmoins requise. La violence suppose non pas n'importe quel emploi de la force physique, mais une application de cette force plus intense que ne l'exige l'accomplissement de l'acte dans les circonstances ordinaires de la vie (ATF 87 IV 68). Selon les circonstances, un déploiement de force relativement faible peut suffire. Ainsi, peut déjà suffire le fait de maintenir la victime avec la force de son corps, de la renverser à terre, de lui arracher ses habits ou de lui tordre un bras derrière le dos (TF 6B_570/2012 du 26 novembre 2012 c. 1.2; TF 6S.126/2007 du 7 juin 2007 c. 6.2). En introduisant la notion de "pressions psychiques", le législateur a cependant aussi voulu viser les cas où la victime se trouve dans une situation sans espoir, sans pour autant que l'auteur ait recouru à la force physique ou à la violence. Ainsi, l'infériorité cognitive et la dépendance émotionnelle et sociale peuvent induire une pression psychique extraordinaire et, partant, une soumission comparable à la contrainte physique, rendant la victime incapable de s'opposer à des atteintes sexuelles. La jurisprudence parle de "violence structurelle", pour désigner cette forme de contrainte d'ordre psychique commise par l'instrumentalisation de liens sociaux (TF 6P.200/2006 et 6S.450/2006 du 20 février 2007 c. 7.1). Pour que l'infraction soit réalisée, il faut que la pression psychique visée par l'art. 190 CP soit importante. Certes, la loi n'exige pas que la victime soit totalement hors d'état de résister. L'effet produit sur la victime doit cependant être grave et atteindre l'intensité d'un acte de violence ou d'une menace (ATF 131 IV 167 c. 3.1). L'exploitation de rapports généraux de dépendance ou d'amitié ou même la subordination comme celle de l'enfant à l'adulte ne suffisent en règle générale pas pour</w:t>
      </w:r>
    </w:p>
    <w:p>
      <w:r>
        <w:t>- 19 - admettre une pression psychologique au sens de l'art. 190 al. 1 CP (ATF 131 IV 107 c. 2.2; ATF 128 IV 97 c. 2b/aa et cc). En outre, l'auteur doit utiliser les relations sociales comme moyen de pression pour obtenir des faveurs sexuelles. Ainsi, la considération selon laquelle la subordination cognitive et la dépendance émotionnelle et sociale peuvent produire une pression psychique doit être vue sous l'angle du délinquant sexuel, qui transforme cette pression en un moyen de contrainte pour parvenir à ses fins. Il ne suffit pas que l'auteur exploite une relation de pouvoir, privée ou sociale, préexistante. Il doit créer concrètement une situation de contrainte (tatsituative Zwangssituation). Il suffit, lorsque la victime résiste dans la mesure de ses possibilités, que l'auteur actualise sa pression pour qu'il puisse être admis que chacun des actes sexuels n'a pu être commis qu'en raison de cette violence structurelle réactualisée (ATF 131 IV 107 c. 2.2 et 2.4). Pour déterminer si l'on se trouve en présence d'un viol, il faut procéder à une appréciation globale des circonstances concrètes déterminantes. Une appréciation individualisée est nécessaire, laquelle doit reposer sur des éléments suffisamment typiques (ATF 128 IV 97 c. 2b; ATF 128 IV 106 c. 3a/bb; ATF 124 IV 154 c. 3b). La mesure de l'influence qui doit avoir été exercée sur la victime pour qu'il y ait pression d'ordre psychique n'est pas aisément déterminable, de sorte qu'il y a lieu de se montrer prudent dans l'application des dispositions réprimant le viol et la contrainte sexuelle (ATF 128 IV 97 c. 2b; ATF 128 IV 106 c. 3b/aa; TF 6B_570/2012 du 26 novembre 2012 c. 1.3).</w:t>
      </w:r>
    </w:p>
    <w:p>
      <w:r>
        <w:rPr>
          <w:b/>
        </w:rPr>
        <w:t>E. 3.3</w:t>
      </w:r>
    </w:p>
    <w:p>
      <w:r>
        <w:t>L'infraction de viol est intentionnelle. Comme dans le cas de la contrainte sexuelle, le dol éventuel suffit. L'auteur doit savoir que la victime n'est pas consentante ou en accepter l'éventualité. Il doit vouloir accepter que la victime soit contrainte par le moyen qu'il met en œuvre ou la situation qu'il exploite. Il doit enfin vouloir ou accepter que la femme se soumette à l'acte sexuel sous l'effet de la contrainte (Corboz, Les infractions en droit suisse, vol. I, 3 éd., Berne 2010, n. 11 ad art. 190 CP). e</w:t>
      </w:r>
    </w:p>
    <w:p>
      <w:r>
        <w:t>- 20 -</w:t>
      </w:r>
    </w:p>
    <w:p>
      <w:r>
        <w:rPr>
          <w:b/>
        </w:rPr>
        <w:t>E. 3.4</w:t>
      </w:r>
    </w:p>
    <w:p>
      <w:r>
        <w:t>En l'espèce, les premiers juges se sont fondés sur les déclarations de la victime pour retenir implicitement un climat de psycho- terreur permanent. Ils ont rappelé les déclarations faites en cours d’enquête par la plaignante, selon lesquelles elle cédait pour que son mari ne se fâche pas. Ils ont également retenu que le prévenu avait de la peine à se souvenir de ce qu’il faisait quand il buvait et sombrait dans la violence, qu’il avait admis avoir des besoins sexuels très forts. Ils se sont dit convaincus qu'à au moins trois reprises avant le 20 mars 2011, le prévenu, frustré et éméché, n’avait pas voulu comprendre les réticences de sa femme, qu’il s’était comporté en parfait égoïste, sans se préoccuper de l’avis de sa victime dont il pouvait pourtant se douter qu’elle n’allait pas partager ses envies alors qu’il se montrait si souvent violent. Ils ont estimé que son attitude de matamore était amplement suffisante pour que sa femme préfère subir l’acte sexuel auquel elle n’avait pas consenti plutôt que de subir les représailles à venir. La motivation des premiers juges ne peut pas être suivie sur ce point. Le dossier ne contient pas d'éléments suffisants permettant de retenir un climat de terreur psychologique permanent. Il est admis que A.B.________ a un comportement violent et profère des menaces, lorsqu'il est sous l'influence de l'alcool. Toutefois, cet élément n'est pas suffisant pour retenir que le prévenu est un tyran domestique. Au contraire, les époux entretiennent une relation fusionnelle (P. 86/5). L'instruction aux débats d'appel a démontré que la plaignante était toujours attachée à son époux, qu'elle a gardé des contacts avec lui, et qu'elle n'exclut pas définitivement une reprise de la vie commune. Leur fille entretient une relation chaleureuse avec son père. Par ailleurs, la plaignante ne se trouve ni dans une situation d'isolement social, ni dans un rapport de dépendance avec son mari. Si la plaignante avait peur que son mari se fâche, il n'est pas établi que celui-ci avait conscience de ses réticences et aurait, à une seule occasion, passé outre un refus exprimé par celle-ci. Le fait qu'elle craigne qu'il lui fasse la tête si elle refusait démontre plutôt que l’épouse pouvait refuser mais qu’elle préférait se plier aux envies de l’appelant plutôt que</w:t>
      </w:r>
    </w:p>
    <w:p>
      <w:r>
        <w:t>- 21 - de subir sa mauvaise humeur. Sans détails concrets, il est difficile d’affirmer que le prévenu était conscient de l’état d’esprit de sa femme, notamment du fait qu’elle avait peur de ses réactions. Si les relations sexuelles étaient quotidiennes et consenties dans la quasi-totalité des cas, les déclarations de la plaignante, qui n’est au demeurant pas très sûre (« à mon souvenir »), sont insuffisantes pour caractériser une contrainte intentionnelle dans trois circonstances sur lesquelles peu, voire pas, de détails ont été donnés. On peut s’étonner que la plaignante n’ait pas cru bon de décrire ces trois autres épisodes lorsqu’elle a été interrogée à ce sujet en cours d’enquête; ce n'est que devant les premiers juges qu'elle a mentionné trois autres cas au cours desquels A.B.________ l'aurait forcée à l'acte sexuel. Il ne s'agit pas de douter des déclarations de la victime au sujet de ses réticences et de ses craintes. Il est fort possible et même vraisemblable que le prévenu ait perçu celles-ci. Les preuves d'une contrainte exercée délibérément sont toutefois insuffisantes. Par ailleurs, selon la plaignante, ces épisodes se sont passées « dès 2003 », lorsqu’elle est « allée au Foyer de Malley », c’est-à-dire en 2002 et en 2008 (cf. PV aud. 3, ll. 92 à 94). Or, avant le 1er avril 2004, le viol entre conjoints mariés ou faisant ménage commun n'était poursuivi que sur plainte contrairement à aujourd'hui où il est poursuivi d'office (art. 190 CP; FF du 4 mars 2003 pp. 1750 ss). En vertu du principe de non- rétroactivité de la loi (art. 2 al. 1 CP), les actes s'étant produits avant 2004 ne peuvent plus faire l'objet d'une poursuite pénale. Ensuite, concernant le viol qui se serait produit en 2008, il faut rappeler que l'acte d'accusation se limite à la période d'août 2010 à mars 2011. En tout état de cause, ces faits ne peuvent pas être pris en compte. L’appelant doit dès lors être libéré du chef de prévention de viol.</w:t>
      </w:r>
    </w:p>
    <w:p>
      <w:r>
        <w:rPr>
          <w:b/>
        </w:rPr>
        <w:t>E. 4</w:t>
      </w:r>
    </w:p>
    <w:p>
      <w:r>
        <w:t>L’appelant conteste sa condamnation pour tentative de viol s'agissant des événements du 20 mars 2011. Il fait valoir que le fait qu’il n’y a finalement pas eu de rapport sexuel serait la preuve qu’il n’avait pas la volonté de passer outre le refus de sa femme. Il estime que le seul fait</w:t>
      </w:r>
    </w:p>
    <w:p>
      <w:r>
        <w:t>- 22 - de tirer sur les leggings de celle-ci ne serait pas constitutif d’une tentative de contrainte.</w:t>
      </w:r>
    </w:p>
    <w:p>
      <w:r>
        <w:rPr>
          <w:b/>
        </w:rPr>
        <w:t>E. 4.1</w:t>
      </w:r>
    </w:p>
    <w:p>
      <w:r>
        <w:t>Selon l'art. 22 al. 1 CP, le juge peut atténuer la peine si l'exécution d'un crime ou d'un délit n'est pas poursuivie jusqu'à son terme ou que le résultat nécessaire à la consommation de l'infraction ne se produit pas ou ne pouvait pas se produire.</w:t>
      </w:r>
    </w:p>
    <w:p>
      <w:r>
        <w:rPr>
          <w:b/>
        </w:rPr>
        <w:t>E. 4.2</w:t>
      </w:r>
    </w:p>
    <w:p>
      <w:r>
        <w:t>Se fondant sur les déclarations de la victime, les premiers juges ont retenu que l’intéressé avait bien l’intention de faire subir l’acte sexuel à son épouse malgré son désaccord et qu’il en avait commencé l’exécution en essayant de lui baisser son pantalon. En déposant plainte (P. 4), la victime a déclaré que « Après quelques instants, il m’a laissée tranquille. » Sa plainte ne visait au demeurant pas cet aspect des événements mais seulement les coups, la rubrique « violence sexuelle » du formulaire n'étant pas cochée. Au vu de ces déclarations, on peut effectivement s’interroger sur la volonté de l’appelant de passer outre le refus de son épouse. Il ne fait pas de doute qu’il voulait entretenir une relation sexuelle avec sa femme, malgré les dénégations maladroites proférées à ce sujet en première instance. Toutefois, après avoir réalisé que son épouse ne voulait pas de rapport sexuel, il a renoncé à son projet «après quelques instants », et a laissé la plaignante tranquille. Ainsi, au bénéfice du doute, il convient d'admettre en définitive que A.B.________, certes lourdement insistant, n'entendait exercer aucune contrainte. A.B.________ doit donc être libéré du chef d'accusation de tentative de viol.</w:t>
      </w:r>
    </w:p>
    <w:p>
      <w:r>
        <w:rPr>
          <w:b/>
        </w:rPr>
        <w:t>E. 5</w:t>
      </w:r>
    </w:p>
    <w:p>
      <w:r>
        <w:t>A.B.________ conteste également s'être rendu coupable d'injure. Il fait valoir que le fait d'avoir lancé le contenu d'un verre de vin à son épouse est constitutif de voies de fait et non d'injure.</w:t>
      </w:r>
    </w:p>
    <w:p>
      <w:r>
        <w:t>- 23 -</w:t>
      </w:r>
    </w:p>
    <w:p>
      <w:r>
        <w:rPr>
          <w:b/>
        </w:rPr>
        <w:t>E. 5.1</w:t>
      </w:r>
    </w:p>
    <w:p>
      <w:r>
        <w:t>Selon l'art. 126 CP, se rend coupable de voies de fait celui qui se sera livré sur une personne à des voies de fait qui n'auront causé ni lésion corporelle, ni atteinte à la santé (al. 1). La poursuite aura lieu d'office si l'auteur a agi à réitérées reprises contre son conjoint durant le mariage ou dans l'année qui a suivi le divorce (al. 2 let. b). Les voies de fait selon l'art. 126 CP répriment les actions physiques sur le corps d'autrui qui excèdent ce qui est socialement toléré, sans causer pour autant de lésions au corps ou d'atteintes à la santé. Aux termes de l'art. 177 CP, se rend coupable d'injure celui qui, de toute autre manière, aura, par la parole, l'écriture, l'image, le geste ou par des voies de fait, attaqué autrui dans son honneur (al. 1). L'honneur que protège l'art. 177 CP est le sentiment et la réputation d'être une personne honnête et respectable, c'est-à-dire le droit de ne pas être méprisé en tant qu'être humain ou entité juridique (TF 6B_602/2009 du 29 septembre 2009 c. 2.2; ATF 128 IV 260 c. 3.1 non publié). L’injure peut prendre la forme de voies de fait. Sur ce point, l’intention de l’auteur au moment d'agir est déterminante. Ainsi, si l'auteur a souhaité s’attaquer à l’intégrité physique de la victime, l’art. 126 CP est applicable. Dans le cas où l’honneur de la victime était visé par l’auteur de l'atteinte, l’art. 177 CP trouve son application (Dupuis/Geller/Monnier/Moreillon/Piguet/Bettex/Stoll, Code Pénal, Petit Commentaire, Bâle 2012, n. 8 ad art. 177 CP).</w:t>
      </w:r>
    </w:p>
    <w:p>
      <w:r>
        <w:rPr>
          <w:b/>
        </w:rPr>
        <w:t>E. 5.2</w:t>
      </w:r>
    </w:p>
    <w:p>
      <w:r>
        <w:t>En l’occurrence, l'intention du prévenu n'est pas clairement établie. Dans sa plainte, l’épouse du prévenu décrit ainsi la dispute qui est intervenue le 20 mars 2011 : « Alors que je me préparais pour sortir, il est arrivé avec son verre de vin rouge et me l’a versé dessus ». Après cela, son mari est revenu vers elle et lui a assené des coups. Aucune injure verbale n’a été proférée. Les autres actes reprochés au prévenu sont violents et non humiliants. Au moment de verser le verre de vin sur son</w:t>
      </w:r>
    </w:p>
    <w:p>
      <w:r>
        <w:t>- 24 - épouse, le prévenu était en train de boire (cf. jugement entrepris, p. 5); ainsi, il paraît vraisemblable qu’il s’est agi d’un geste de colère plutôt que de mépris. Il convient par conséquent d'admettre, au bénéfice du doute, que l’appelant s’est rendu coupable de voies de fait et non d'injure, comme retenu par les premiers juges sans explication, et donc de le libérer de cette dernière infraction. L'appel doit donc être admis sur ce point également.</w:t>
      </w:r>
    </w:p>
    <w:p>
      <w:r>
        <w:rPr>
          <w:b/>
        </w:rPr>
        <w:t>E. 6</w:t>
      </w:r>
    </w:p>
    <w:p>
      <w:r>
        <w:t>L’appelant estime excessive l’amende mise à sa charge. Il conclut également à la suppression de la peine pécuniaire et à la réduction de la quotité de la peine privative de liberté dès lors qu’il conteste certaines infractions.</w:t>
      </w:r>
    </w:p>
    <w:p>
      <w:r>
        <w:rPr>
          <w:b/>
        </w:rPr>
        <w:t>E. 6.1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 même (Täterkomponente), à savoir les antécédents, la réputation, la situation personnelle (état de santé, âge, obligations familiales, situation professionnelle, risque de récidive, etc.), la vulnérabilité face à la peine, de</w:t>
      </w:r>
    </w:p>
    <w:p>
      <w:r>
        <w:t>- 25 - même que le comportement après l'acte et au cours de la procédure pénale (TF 6B_335/2012 du 13 août 2012 c. 1.1 et les références citées).</w:t>
      </w:r>
    </w:p>
    <w:p>
      <w:r>
        <w:rPr>
          <w:b/>
        </w:rPr>
        <w:t>E. 6.2</w:t>
      </w:r>
    </w:p>
    <w:p>
      <w:r>
        <w:t>En l'espèce, l’admission des moyens qui précèdent implique de réexaminer de façon globale la fixation de la peine, le prévenu étant libéré des accusations de viol, de tentative de viol et d’injure. Ainsi, A.B.________ est reconnu coupable de lésions corporelles simples qualifiées, voies de fait qualifiées, menaces qualifiées, contrainte et violence ou menaces contre les autorités et les fonctionnaires.</w:t>
      </w:r>
    </w:p>
    <w:p>
      <w:r>
        <w:rPr>
          <w:b/>
        </w:rPr>
        <w:t>E. 6.2.1</w:t>
      </w:r>
    </w:p>
    <w:p>
      <w:r>
        <w:t>Le jugement du Tribunal correctionnel a précisé que la peine pécuniaire a été infligée pour sanctionner l’injure. Cette peine doit donc être supprimée.</w:t>
      </w:r>
    </w:p>
    <w:p>
      <w:r>
        <w:rPr>
          <w:b/>
        </w:rPr>
        <w:t>E. 6.2.2</w:t>
      </w:r>
    </w:p>
    <w:p>
      <w:r>
        <w:t>La culpabilité de A.B.________ est importante mais allégée par une responsabilité pénale légèrement à moyennement diminuée. A charge, il convient de tenir compte du concours d'infractions. Ses antécédents judiciaires doivent également être pris en compte. A décharge, on retiendra que A.B.________ a présenté à plusieurs reprises des regrets qui paraissent sincères. Il s'est reconnu débiteur de 5'000 fr. à titre de réparation du tort moral causé à son épouse. En outre, depuis sa sortie de détention provisoire, A.B.________ s'est bien comporté. Il continue à se soumettre aux traitements qu'il suit volontairement. Ses problèmes d'alcool font l'objet d'une thérapie auprès du Dr G.________, chez lequel il se rend régulièrement, à raison d'une fois par mois. Le prévenu a poursuivi le programme de Vifa Jeunesse et Famille au-delà des exigences posées par le Tribunal des mesures de contrainte comme mesure de substitution à la détention provisoire. Il est en outre suivi à la consultation Maltraitance familiale aux Boréales.</w:t>
      </w:r>
    </w:p>
    <w:p>
      <w:r>
        <w:rPr>
          <w:b/>
        </w:rPr>
        <w:t>E. 6.2.3</w:t>
      </w:r>
    </w:p>
    <w:p>
      <w:r>
        <w:t>Selon l'art. 106 al. 3 CP, le juge fixe l'amende ainsi que la peine privative de liberté de substitution en tenant compte de la situation de l'auteur afin que la peine corresponde à la faute commise.</w:t>
      </w:r>
    </w:p>
    <w:p>
      <w:r>
        <w:t>- 26 - L'épisode du verre de vin versé sur la plaignante, requalifié en voies de fait, doit être sanctionné d'une amende. Il s’ajoute aux multiples violences de ce type exercées entre août 2010 et le 20 mars 2011. Au vu des infractions commises, de la réitération des actes et des antécédents de l'appelant, une amende de 1'000 fr. se justifie, bien que la situation financière de A.B.________ soit modeste. Une peine de substitution de dix jours de peine privative de liberté est également adéquate au vu du cas d'espèce. Contrairement à ce que semble soutenir l'appelant, la peine de substitution (art. 106 al. 2 CP) calculée sur un montant journalier plus élevé que celui qui pourrait être retenu pour une peine pécuniaire est une solution qui le favorise.</w:t>
      </w:r>
    </w:p>
    <w:p>
      <w:r>
        <w:rPr>
          <w:b/>
        </w:rPr>
        <w:t>E. 6.2.4</w:t>
      </w:r>
    </w:p>
    <w:p>
      <w:r>
        <w:t>S'agissant de la peine privative de liberté, sa durée est en générale de six mois au moins et de 20 ans au plus (art. 40 CP). Ainsi, la peine privative de liberté de plus de six mois constitue le principe. Au vu des éléments qui précèdent, c'est à juste titre que l’appelant n'a pas contesté le choix du genre de peine. Une peine de 12 mois, telle que requise en appel, paraît propre à sanctionner les infractions – hors contraventions – commises par A.B.________ et tenir compte de sa situation personnelle. L'octroi du sursis n'est pas contesté et peut être confirmé.</w:t>
      </w:r>
    </w:p>
    <w:p>
      <w:r>
        <w:rPr>
          <w:b/>
        </w:rPr>
        <w:t>E. 7</w:t>
      </w:r>
    </w:p>
    <w:p>
      <w:r>
        <w:t>Vu l'issue de la cause, l'appel étant partiellement admis, les frais de la procédure d'appel doivent être laissés à la charge de l'Etat (art. 428 al. 1 CPP). Outre l'émolument, qui se monte à 2'570 fr. (art. 21 al. 1 et 2 TFJP [Tarif des frais judiciaires pénaux du 28 septembre 2010, RSV 312.03.1]), ces frais comprennent les indemnités allouées aux conseils d'office de A.B.________ et P.________.</w:t>
      </w:r>
    </w:p>
    <w:p>
      <w:r>
        <w:t>- 27 - Au vu de la complexité de la cause, des opérations mentionnées dans la liste des opérations, il convient d'admettre que le défenseur d'office de l'appelant, Me Tiphanie Chappuis, a dû consacrer 11 heures et 25 minutes à l'exécution de son mandat. L'indemnité sera dès lors arrêtée à 2'053 fr. 80 et 50 fr. de débours, plus la TVA par 168 fr. 30, soit un total de 2'272 fr. 10, TVA et débours compris. Il convient également d'admettre que le conseil d'office de l'intimée, Me Matthieu Genillod, a dû consacrer 8 heures et 30 minutes à l'exécution de son mandat Son indemnité sera dès lors arrêtée à 1'530 fr. et 13 fr. de débours, plus la TVA par 123 fr. 45, soit un total de 1'666 fr. 45, TVA et débours compris.</w:t>
      </w:r>
    </w:p>
    <w:p>
      <w:r>
        <w:t>- 28 -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