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PE11.002962 vom 27. Januar 2016</w:t>
      </w:r>
    </w:p>
    <w:p>
      <w:r>
        <w:t>VD Tribunal cantonal, 2016-01-27, FR</w:t>
      </w:r>
    </w:p>
    <w:p>
      <w:r>
        <w:rPr>
          <w:b/>
        </w:rPr>
        <w:t xml:space="preserve">Quelle: </w:t>
      </w:r>
      <w:r>
        <w:t>https://mcp.opencaselaw.ch/entscheid/vd_gerichte_PE11.002962</w:t>
      </w:r>
    </w:p>
    <w:p>
      <w:r>
        <w:t>FR: VD_GERICHTE PE11.002962 du 27 janvier 2016</w:t>
      </w:r>
    </w:p>
    <w:p>
      <w:r>
        <w:t>IT: VD_GERICHTE PE11.002962 del 27 gennaio 2016</w:t>
      </w:r>
    </w:p>
    <w:p>
      <w:pPr>
        <w:pStyle w:val="Heading2"/>
      </w:pPr>
      <w:r>
        <w:t>Erwägungen</w:t>
      </w:r>
    </w:p>
    <w:p>
      <w:r>
        <w:rPr>
          <w:b/>
        </w:rPr>
        <w:t>E. 16</w:t>
      </w:r>
    </w:p>
    <w:p>
      <w:r>
        <w:t>novembre 2010 (P. 4/2 ch. 10). Dès lors, l’hypothèse des premiers juges, selon laquelle c’est le plaignant qui aurait décalqué ses propres signatures est invraisemblable et ne procède pas d’un doute raisonnable. Il résulte au contraire de l’expertise graphologique, du résultat de la perquisition et de l’avantage économique considérable procuré par le procédé que c’est bien l’intimée qui a confectionné les faux litigieux. La victime était le père de la prévenue et revêtait par conséquent la qualité de proche au sens de l’art. 110 al. 1 CPP.</w:t>
      </w:r>
    </w:p>
    <w:p>
      <w:r>
        <w:t>- 14 - La plainte pénale déposée par J.________ dans le cas n°2 est opérante, le décès du plaignant ne la rendant pas caduque et ses proches n’ayant pas la qualité pour la retirer après le décès (ATF 95 IV 161). De toute manière, même à supposer que l’hoirie du plaignant soit habilitée à retirer la plainte, ce retrait n’est plus possible, la succession ayant été répudiée. Aucune plainte pénale n’a été déposée s’agissant du cas n°3. Vu ce qui précède, les infractions d’escroquerie commise au préjudice des proches en concours avec celle de faux dans les titres doivent être retenues à l’encontre de N.________ s’agissant du cas n°2 ci- dessus (cf. consid. Cb supra). Vu l’absence de plainte pénale s’agissant du cas n° 3, seule l’infraction de faux dans les titres sanctionnera la prénommée. 5. 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w:t>
      </w:r>
    </w:p>
    <w:p>
      <w:r>
        <w:t>- 15 -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(ATF 134 IV 1 consid. 4.2.2). 5.2 A charge, il faut prendre en considération l’ampleur de l’enrichissement illégitime et à décharge les circonstances familiales particulières dans lesquelles les infractions sont intervenues. Au regard de la culpabilité de N.________ et de sa situation personnelle, une peine pécuniaire de 300 jours-amende à 10 fr. est adéquate pour sanctionner le comportement fautif de N.________. Cette dernière bénéficiera du sursis dont elle remplit les conditions. La durée du sursis sera de deux ans. 6. En définitive, l’appel du Ministère public doit être admis et le jugement attaqué réformé dans le sens des considérants. L’indemnité de défenseur d’office de Me Angelo Ruggiero sera arrêtée, sur la base de la liste des opérations produites (P. 102), à 1'506 fr. 60, TVA et débours compris. Vu l'issue de la cause, les frais de la procédure d'appel, par 3'006 fr. 60, constitués en l’espèce de l'émolument d’arrêt, par 1’500 fr. (art. 21 al. 1 et 2 TFIP [Tarif des frais de procédure et indemnités en matière pénale du 28 septembre 2010; RSV 312.03.1]) ainsi que de l’indemnité allouée au défenseur d'office de l’intimée, seront mis à la charge de celle-ci. N.________ ne sera tenue de rembourser à l’Etat les indemnités allouées à son défenseur d’office pour la première et la deuxième instance</w:t>
      </w:r>
    </w:p>
    <w:p>
      <w:r>
        <w:t>- 16 - que lorsque sa situation financière le permettra. En application de l’art. 83 CPP, le dispositif doit être rectifié d’office à son chiffre II,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