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PE11.002852 vom 11. März 2013</w:t>
      </w:r>
    </w:p>
    <w:p>
      <w:r>
        <w:t>VD Tribunal cantonal, 2013-03-11, FR</w:t>
      </w:r>
    </w:p>
    <w:p>
      <w:r>
        <w:rPr>
          <w:b/>
        </w:rPr>
        <w:t xml:space="preserve">Quelle: </w:t>
      </w:r>
      <w:r>
        <w:t>https://mcp.opencaselaw.ch/entscheid/vd_gerichte_PE11.002852</w:t>
      </w:r>
    </w:p>
    <w:p>
      <w:r>
        <w:t>FR: VD_GERICHTE PE11.002852 du 11 mars 2013</w:t>
      </w:r>
    </w:p>
    <w:p>
      <w:r>
        <w:t>IT: VD_GERICHTE PE11.002852 del 11 marzo 2013</w:t>
      </w:r>
    </w:p>
    <w:p>
      <w:pPr>
        <w:pStyle w:val="Heading2"/>
      </w:pPr>
      <w:r>
        <w:t>Erwägungen</w:t>
      </w:r>
    </w:p>
    <w:p>
      <w:r>
        <w:rPr>
          <w:b/>
        </w:rPr>
        <w:t>E. 25</w:t>
      </w:r>
    </w:p>
    <w:p>
      <w:r>
        <w:t>mars 2010 c. 4.3). Une caresse insistante du sexe, des fesses ou des seins, même par-dessus les habits, a été considérée comme un acte d’ordre sexuel par le Tribunal fédéral (ATF 118 II 410; TF 6S.117/2006 du 9 juin 2006 c. 2.1). L’infraction de contrainte sexuelle est intentionnelle. 3.4 En l’espèce, le premier juge a procédé à une analyse minutieuse des versions de V.________ et A.X.________ et a forgé sa conviction avec rigueur. Il a retenu que l’appelant avait donné plusieurs versions des faits, contrairement aux déclarations de la victime qui ont toujours été constantes. Il a en outre considéré que le témoignage de N.________, confirmé par les déclarations de la mère de la victime (PV aud. 1 p. 1), accréditait de manière déterminante la version de A.X.________ et faisait perdre toute crédibilité à celle de V.________ (cf. jgt., p. 26 à 31). La Cour de céans reprend donc à son compte l’analyse circonstanciée du Tribunal de police.</w:t>
      </w:r>
    </w:p>
    <w:p>
      <w:r>
        <w:t>- 20 - Au surplus, la Cour de céans relève que A.X.________ n’avait aucune raison d’inventer une pareille histoire lui causant autant de tracas. Elle a en effet dû se justifier auprès de son employeur, continuer à travailler sur les chantiers où elle croisait l’appelant et se soumettre à une thérapie en raison du traumatisme subi. L’appelant soutient que A.X.________ a porté de telles accusations à son encontre de peur de se faire licencier. Cette argumentation est futile. Si A.X.________ craignait cette issue, elle n’aurait pas expliqué que les événements survenus avaient débuté par un simple jeu consistant à se mettre du mastic sur le visage, puisque de telles déclarations risquaient de desservir sa cause. A cela s'ajoute que les troubles psychologiques que A.X.________ a présentés suite aux faits litigieux, soit un stress post- traumatique, une trichotillomanie, soit le fait de s’arracher les cheveux, ainsi que des nausées matinales pouvant également être présentes le dimanche soir (jgt, p. 6), s'accordent avec sa version des faits. La Cour de céans constate par ailleurs que, contrairement à ce qu’il soutient, la culpabilité de V.________ n’est pas uniquement fondée sur les aveux faits au cours de sa première audition par la police (PV aud. 2), qu’il a fermement contestés par la suite. Il ressort en effet des débats de première instance que sa déposition transpire le mensonge, l’invraisemblance chronologique et l’incohérence. Aucun élément ne vient en outre accréditer les propos de l’appelant. Il n’a ainsi pas pu expliquer les insultes de la victime après les événements ou les menaces qu’il a proférées envers S.________ et indirectement envers N.________ s’ils révélaient ce qui s’était passé avec A.X.________. Enfin, V.________ s’évertue à mettre en évidence le comportement douteux de la victime, ainsi que ses tenues provocantes. Or, il a été établi que le jour de l’agression, A.X.________ portait un T-shirt et une jaquette, vêtements non décolletés, qui ne sauraient être qualifiés de provocants. De plus, l’habillement et le comportement juvénile de la victime sur les chantiers sont sans portée sur les agissements reprochés à l’appelant. Ainsi, le témoignage de Q.________, alléguant que la victime</w:t>
      </w:r>
    </w:p>
    <w:p>
      <w:r>
        <w:t>- 21 - avait eu quelques disputes avec d’autres collaborateurs de l’entreprise et qu’elle portait parfois des tenues provocantes sur les chantiers, s’avère sans pertinence. En définitive, fondée sur l'ensemble de ces éléments, l'appréciation du tribunal, qui a retenu la version de la victime, n'est ni incomplète, ni erronée. Elle ne relève pas davantage, d'une façon plus générale, d'un abus de pouvoir d'appréciation des preuves. Les faits retenus en première instance doivent donc être confirmés. 3.5 Le Tribunal de police a retenu, à bon droit, que V.________ s’est rendu coupable de contrainte sexuelle. En effet, en faisant usage de sa force physique pour porter A.X.________ du couloir de l’immeuble jusqu’à une pièce adjacente et en l’immobilisant, malgré une résistance certaine, l’appelant a pu passer la main dans l’encolure de son T-shirt, écarter son soutien-gorge et lui toucher les seins. L’appelant n’a pas touché la poitrine de la victime par inadvertance ou par jeu, mais bien pour satisfaire une pulsion sexuelle. Dans le même élan, il a d’ailleurs allumé la lumière pour contempler les seins de la jeune fille. Il a également tenté de l’embrasser sur la joue. Les agissements de V.________ ne sont donc pas furtifs et ont duré un certain temps. Les déclarations du témoin N.________, selon lesquelles le col du T- shirt de A.X.________ était baissé au point de rendre visible presque l’entier de sa poitrine et la présence de rougeurs autour de son cou (PV aud. 3, p. 2), de même que les déclarations de sa mère, selon laquelle elle présentait un cou « tout rouge » environ deux heures après l’agression (PV aud. 1 p. 1), démontrent bien l’intensité, la force et la détermination avec laquelle l’appelant a agi. V.________ a donc bien contraint A.X.________, par la violence, à subir un acte d’ordre sexuel. Partant, les éléments constitutifs de l’art. 189 CP sont réunis et la condamnation de l’appelant pour contrainte sexuelle doit être confirmée.</w:t>
      </w:r>
    </w:p>
    <w:p>
      <w:r>
        <w:t>- 22 - 4. Il appartient encore à la Cour de céans d'examiner la peine infligée en première instance (art. 404 al. 2 CPP).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w:t>
      </w:r>
    </w:p>
    <w:p>
      <w:r>
        <w:t>- 23 - 4.2 En l’espèce, la culpabilité de V.________ est importante. A charge, il convient de retenir que l’appelant a agi avec égoïsme et lâcheté en tentant de profiter d’une jeune fille, âgée de dix-sept ans au moment des faits et apprentie au sein de l’entreprise qui l’employait. Pris d’une pulsion sexuelle non maîtrisée, il a dérapé, puis, paniqué par les conséquence pénales, sociales, professionnelles et familiales de son comportement, il a adopté tout au long de la procédure une défense axée sur le déni de l’acte d’ordre sexuel et le dénigrement de la victime. A décharge, seront pris en considération l’absence d’antécédents et le fait que l’acte reproché apparaît comme un cas isolé dans un parcours de vie par ailleurs exempt de reproches. Compte tenu de tous ces éléments, la peine pécuniaire de cent jours-amende, à 60 fr. le jour-amende, est adéquate et doit être confirmée. L'octroi du sursis de deux ans doit également être confirmé dans la mesure où l'appelant en remplit les conditions. Il va de même de l’amende infligée à titre de sanction immédiate. Enfin, la quotité de l'indemnité pour tort moral allouée, qui n'a pas été attaquée en elle-même en appel, ne prête pas le flanc à la critique et doit être confirmée. 5. En définitive, l'appel de V.________ est rejeté, le jugement rendu le 11 mars 2013 par le Tribunal correctionnel de l'arrondissement de La Côte étant intégralement confirmé. 6. Vu l'issue de la cause, les frais d'appel doivent être mis à la charge de V.________ (art. 428 al. 1 CPP). Outre l'émolument, qui se monte à 2'020 fr. (art. 21 al. 1 et 2 TFJP [Tarif des frais judiciaires pénaux du</w:t>
      </w:r>
    </w:p>
    <w:p>
      <w:r>
        <w:rPr>
          <w:b/>
        </w:rPr>
        <w:t>E. 28</w:t>
      </w:r>
    </w:p>
    <w:p>
      <w:r>
        <w:t>septembre 2010; RSV 312.03.1]), ces frais comprennent l’indemnité allouée à son défenseur d’office.</w:t>
      </w:r>
    </w:p>
    <w:p>
      <w:r>
        <w:t>- 24 - Au vu de la complexité de la cause, des opérations mentionnées dans la note d'honoraires et de la procédure d'appel, il convient d'allouer au défenseur d’office de V.________ une indemnité arrêtée à 2’073 fr. 60, TVA et débours inclus. L'indemnité pour les frais de la procédure d'appel allouée au conseil d'office de A.X.________ sera fixée à 1'000 fr., TVA et débours inclus. V.________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