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PE11.002097 vom 4. Dezember 2013</w:t>
      </w:r>
    </w:p>
    <w:p>
      <w:r>
        <w:t>VD Tribunal cantonal, 2013-12-04, FR</w:t>
      </w:r>
    </w:p>
    <w:p>
      <w:r>
        <w:rPr>
          <w:b/>
        </w:rPr>
        <w:t xml:space="preserve">Quelle: </w:t>
      </w:r>
      <w:r>
        <w:t>https://mcp.opencaselaw.ch/entscheid/vd_gerichte_PE11.002097</w:t>
      </w:r>
    </w:p>
    <w:p>
      <w:r>
        <w:t>FR: VD_GERICHTE PE11.002097 du 4 décembre 2013</w:t>
      </w:r>
    </w:p>
    <w:p>
      <w:r>
        <w:t>IT: VD_GERICHTE PE11.002097 del 4 dicembre 2013</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- 13 -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Les appelants se plaignent d’une constatation inexacte des faits et soutiennent que leur rôle dans la rixe n’a été que secondaire. Ils considèrent que leur inculpation pour rixe contrevient au principe de la présomption d’innocence.</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w:t>
      </w:r>
    </w:p>
    <w:p>
      <w:r>
        <w:t>- 14 -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3.1.2</w:t>
      </w:r>
    </w:p>
    <w:p>
      <w:r>
        <w:t>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t>- 15 - A la différence de l'agression, la rixe est une altercation physique réciproque entre au moins trois personnes qui y participent activement (ATF 131 IV 150 c. 2.1; ATF 104 IV 53 c. 2b).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 2; ATF 106 IV 246 c. 3e; Corboz, op. cit., n. 5 ad art. 133 CP). Lorsqu'une personne a une attitude purement passive, ne cherche qu'à se protéger et ne donne aucun coup, on ne peut soutenir qu'elle participe à la rixe (ATF 137 IV 1 c.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 3e; ATF 94 IV 105; ATF 70 IV 126). En revanche, quand une personne a une attitude active, mais purement défensive ou de séparation, c'est-à-dire distribue des coups, mais exclusivement pour se protéger, défendre autrui ou séparer les combattants, on a alors affaire à une rixe (ATF 131 IV 150 c. 2.1.2; ATF 94 IV 105). Dans ce sens, la jurisprudence a précisé que du moment où la loi accorde l'impunité à celui qui s'est borné à se défendre (art. 133 al. 2 CP), elle admet qu'il est aussi un participant au sens de l'art. 133 CP (TF 6B_405/2012 du 7 janvier 2013 c. 2.1.2; ATF 106 IV 246 c. 3e). Finalement, peu importe que des coups déterminés ne puissent être imputés (CAPE 30 avril 2013 n°106).</w:t>
      </w:r>
    </w:p>
    <w:p>
      <w:r>
        <w:rPr>
          <w:b/>
        </w:rPr>
        <w:t>E. 3.2</w:t>
      </w:r>
    </w:p>
    <w:p>
      <w:r>
        <w:t>En l’occurrence, le premier juge a indiqué qu’il n’est pas aisé de déterminer le déroulement exact des faits hormis l’origine de la bagarre pour laquelle les prévenus admettent que c’est le déplacement de bornes à plusieurs reprises par G.________ qui a mis le feu aux poudres (jgt., p. 24). Il a écarté le témoignage de [...] aux motifs que ce témoignage a eu lieu près de trois ans après les faits, lors de la reprise d’audience du 28 novembre 2013, que ce témoin est le seul, avec</w:t>
      </w:r>
    </w:p>
    <w:p>
      <w:r>
        <w:t>- 16 - G.________, à prétendre que B.F.________ et A.F.________ seraient sortis les deux en même temps de leur habitation en brandissant pour l’un une pelle et pour l’autre une barre de fer et qu’il a d’entrée de cause prétendu ne pas reconnaître B.F.________ et A.F.________, avant de dire qu’il avait vu les deux personnes présentes dans le tribunal sortir de la maison en brandissant une pelle à neige et une barre de fer. Le premier juge a enfin mis en doute la crédibilité de ce témoin en relevant que G.________ avait déclaré l’avoir raccompagné à son domicile après l’altercation et que c’est de cette façon qu’il a pu le retrouver, alors que l’altercation a eu lieu à 14h00, que la police est venue sur place et que G.________ a déclaré dans sa plainte - prise à 16h30 - qu’il s’était encore rendu chez le médecin avant sa déposition. (jgt., p. 25). Il est vrai que l’établissement des faits dans des affaires de bagarres générales est toujours difficile. La Cour de céans ne peut toutefois suivre l’appréciation du premier juge s’agissant de la crédibilité du témoin [...]. Le fait que ce témoin ait été amené à l’audience par un clan – alors que la police n’est pas parvenue ou n’a pas voulu le rechercher – ne relativise en effet pas forcément son témoignage. A priori, ce témoin n’avait aucun intérêt personnel à affabuler et on peut même présumer qu’il était plus neutre dans sa déposition que l’épouse de A.F.________. Il n’y a, en outre, aucune contradiction interne au témoignage entre l’impossibilité d’identifier aujourd’hui parmi les personnes présentes dans la salle d’audience celles qui sont sorties de la maison de A.F.________ et B.F.________ et l’affirmation que deux personnes étaient sorties de cet immeuble. Enfin, le fait que G.________ a déclaré qu’il avait ramené le témoin et son camarade chez eux (jgt., p. 12) ne signifie pas pour autant que le témoignage est faux, dans la mesure où il n’est pas exclu qu’un déplacement court, par exemple à destination de la prochaine localité desservie par la ligne du train, ait pu être effectué dans l’intervalle entre la bagarre à 14h, la visite de G.________ à son médecin et sa déposition à la police à 16h30. La chronologie des cris qui auraient été proférés par ceux qui déplaçaient les blocs remis en place une première fois par B.F.________ peut s’expliquer par de la colère ou de la contrariété éprouvée précisément en constatant que les blocs avaient été replacés en position</w:t>
      </w:r>
    </w:p>
    <w:p>
      <w:r>
        <w:t>- 17 - gênante après une première altercation à ce sujet. Enfin, les lésions constatées ne permettent pas de déduire une participation offensive des appelants plutôt que défensive à la bagarre. Au vu de l’ensemble de ces éléments, il subsiste des doutes raisonnables s’agissant du rôle tenu par les appelants dans la bagarre. Partant, il y a lieu de prononcer - au bénéfice du doute - l’acquittement des appelants A.Z.________, B.Z.________ et G.________.</w:t>
      </w:r>
    </w:p>
    <w:p>
      <w:r>
        <w:rPr>
          <w:b/>
        </w:rPr>
        <w:t>E. 4</w:t>
      </w:r>
    </w:p>
    <w:p>
      <w:r>
        <w:t>En application du principe de célérité de la procédure et pour éviter des jugements contradictoires, l’art. 392 al. 1 CPP prévoit que, lorsque, dans une même procédure, un recours a été interjeté par certains des prévenus ou des condamnés seulement et qu’il a été admis, la décision attaquée est annulée ou modifiée également en faveur de ceux qui n’ont pas interjeté recours aux conditions cumulatives que l’autorité de recours juge différemment les faits (let. a) et que les considérants valent aussi pour les autres personnes impliquées (let. b) (Calame, in Kuhn/Jeanneret, Commentaire romand, Code de procédure pénale suisse, Bâle 2011, n. 2 ad art. 392 CPP). Selon l’alinéa 2 de ce même article, afin de respecter le droit d’être entendu des parties concernées, l’autorité de recours entend s’il y a lieu les prévenus ou les condamnés qui n’ont pas interjeté recours, le ministère public et la partie plaignante. Compte tenu des doutes qui subsistent sur les rôles respectifs des différents protagonistes, des termes de la convention passée entre les parties à l’audience d’appel de ce jour et du déménagement de la famille de A.Z.________ qui a rendu la querelle stérile, il y a lieu d’étendre l’acquittement prononcé en faveur des appelants aux intimés A.F.________ et B.F.________.</w:t>
      </w:r>
    </w:p>
    <w:p>
      <w:r>
        <w:rPr>
          <w:b/>
        </w:rPr>
        <w:t>E. 5</w:t>
      </w:r>
    </w:p>
    <w:p>
      <w:r>
        <w:t>Dans la convention passée entre les parties, ces dernières ont expressément renoncé à toute allocation d’une indemnité au sens de l’art. 429 CPP. Il n’y a donc pas lieu d’examiner ce point.</w:t>
      </w:r>
    </w:p>
    <w:p>
      <w:r>
        <w:t>- 18 -</w:t>
      </w:r>
    </w:p>
    <w:p>
      <w:r>
        <w:rPr>
          <w:b/>
        </w:rPr>
        <w:t>E. 6</w:t>
      </w:r>
    </w:p>
    <w:p>
      <w:r>
        <w:t>En définitive, l’appel de A.Z.________, B.Z.________ et G.________ est partiellement admis en ce sens qu’ils sont libérés du chef de prévention de rixe. En application de l’art. 392 CPP, les intimés A.F.________ et B.F.________ sont également libérés de ce chef de prévention. Le jugement rendu par le Tribunal de police doit être modifié dans ce sens et confirmé pour le surplus. Les parties ayant retiré leurs plaintes respectives, les frais de la procédure d’appel, constitués en l’espèce de l’émolument du présent jugement (art. 422 al. 1 CPP), par 1'720 fr. (art. 20 al. 1 TFJP [tarif des frais judiciaires pénaux; RSV 312.03.1]), seront laissés à la charge de l’Etat.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