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PE11.000447 vom 21. März 2012</w:t>
      </w:r>
    </w:p>
    <w:p>
      <w:r>
        <w:t>VD Tribunal cantonal, 2012-03-21, FR</w:t>
      </w:r>
    </w:p>
    <w:p>
      <w:r>
        <w:rPr>
          <w:b/>
        </w:rPr>
        <w:t xml:space="preserve">Quelle: </w:t>
      </w:r>
      <w:r>
        <w:t>https://mcp.opencaselaw.ch/entscheid/vd_gerichte_PE11.000447</w:t>
      </w:r>
    </w:p>
    <w:p>
      <w:r>
        <w:t>FR: VD_GERICHTE PE11.000447 du 21 mars 2012</w:t>
      </w:r>
    </w:p>
    <w:p>
      <w:r>
        <w:t>IT: VD_GERICHTE PE11.000447 del 21 marzo 2012</w:t>
      </w:r>
    </w:p>
    <w:p>
      <w:pPr>
        <w:pStyle w:val="Heading2"/>
      </w:pPr>
      <w:r>
        <w:t>Erwägungen</w:t>
      </w:r>
    </w:p>
    <w:p>
      <w:r>
        <w:rPr>
          <w:b/>
        </w:rPr>
        <w:t>E. 3</w:t>
      </w:r>
    </w:p>
    <w:p>
      <w:r>
        <w:t>Afin de qualifier les actes du prévenu, le tribunal s'est référé, pour sanctionner le commerce de stupéfiant, à la loi fédérale sur les stupéfiants [Loi fédérale du 3 octobre 1951 sur les stupéfiants et les substances psychotropes (Loi sur les stupéfiants, LStup; RS 812.121)] dans sa version antérieure au 1er juillet 2011 – moins sévère que les normes actuelles –. Pour les mêmes raisons, il a appliqué à l'entrée illégale et au séjour illégal, la loi fédérale sur le séjour et l’établissement des étrangers du 26 mars 1931 (LSEE; RS 142.20) aux faits antérieurs au 1er janvier 2008, puis la LEtr (Loi fédérale du 16 décembre 2005 sur les étrangers; RS 142.20) aux faits postérieurs à cette date. Enfin, l’ancien article 95 ch. 1 al. 1 LCR (Loi fédérale du 19 décembre 1958 sur la circulation routière; RS 741.01) a été appliqué à la conduite sans permis. Cette disposition ne prévoyait, à l'époque, qu’une contravention pour ce type d’infraction. Au vu des faits incriminés, A.W.________ a été reconnu coupable d’infraction grave à la Loi fédérale sur les stupéfiants au sens de l’art. 19 ch. 1 al. 3 à 6 et ch. 2 litt. a aLStup, de blanchiment d’argent au sens de l’art. 305 bis ch. 1 CP, de circulation sans permis de conduire au sens de l’art. 95 ch. 1 al. 1 LCR, de séjour illégal au sens de l’art. 115 al. 1 litt. b LEtr et d’infraction à la Loi fédérale sur les étrangers au sens de l’art. 23 al. 1 4ème par. LSEE. Une amende a été infligée à A.W.________ pour sanctionner la contravention à la LCR (Loi fédérale du 19 décembre 1958 sur la circulation routière; RS 741.01) et une peine privative de liberté de trois</w:t>
      </w:r>
    </w:p>
    <w:p>
      <w:r>
        <w:t>- 12 - ans et demi sous déduction des 376 jours de détention subie avant jugement a été prononcée pour sanctionner les autres chefs d'accusation.</w:t>
      </w:r>
    </w:p>
    <w:p>
      <w:r>
        <w:rPr>
          <w:b/>
        </w:rPr>
        <w:t>E. 4</w:t>
      </w:r>
    </w:p>
    <w:p>
      <w:r>
        <w:t>La qualification des infractions et le droit applicable ratione temporis ne sont pas remis en cause, ni non plus l'amende infligée pour la contravention à la LCR. Sur ces points, la cour de céans se réfère au jugement attaqué, qui est conforme au droit et qui doit être confirmé. Est, en revanche, litigieuse la quotité de la peine privative de liberté (3 ans et demi) infligée pour sanctionner le séjour illégal, l'infraction grave à la LStup et le blanchiment d'argent. L'appelant demande que cette peine soit réduite d'une manière compatible avec l'octroi d'un sursis partiel. Il se prévaut d'un repentir sincère au sens de l'art. 48 let. d CP et prétend que sa bonne collaboration pendant l'enquête devrait au moins être considérée comme un élément favorable pour la fixation de la peine dans le cadre ordinaire de l'art. 47 CP (mémoire p. 7 ch. 20). 4.1.1 L'art. 47 al. 1 CP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Ces critères correspondent à ceux établis par la</w:t>
      </w:r>
    </w:p>
    <w:p>
      <w:r>
        <w:t>- 15 -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p. 301; 121 IV 193 c.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w:t>
      </w:r>
    </w:p>
    <w:p>
      <w:r>
        <w:t>- 16 -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p. 301). Il faudra aussi tenir compte des antécédents, qui comprennent aussi bien les condamnations antérieures que les circonstances de la vie passée. Enfin, le comportement du délinquant lors de la procédure peut aussi jouer un rôle (TF du 13 juin 2008 6B_270/2008, c. 4.3). 4.1.2 D'après l'art. 48 CP, le juge atténue la peine si l’auteur a manifesté, par des actes, un repentir sincère, notamment s’il a réparé le dommage autant qu’on pouvait l’attendre de lui (let. d). Cette disposition reprend l'art. 64 al. 7 aCP. La circonstance atténuante du repentir sincère ne peut toutefois être retenue qu'en faveur du délinquant qui fournit, de son propre mouvement, un effort particulier, spontané et désintéressé par lequel il fait la preuve de son repentir, notamment en tentant, au prix de sacrifices, de réparer le tort qu'il a causé. L'effort particulier doit être fourni librement et durablement. Celui qui ne consent à faire un effort que sous la menace d'une procédure pénale présente ou à venir ne manifeste pas un repentir sincère, mais s'inspire de considérations tactiques et ne mérite donc pas d'indulgence</w:t>
      </w:r>
    </w:p>
    <w:p>
      <w:r>
        <w:t>- 17 - particulière. De plus, l'effort particulier requis doit se trouver en rapport étroit avec l'infraction et doit être dicté uniquement par la prise de conscience de l'auteur. A titre d'exemple, le bénéfice du repentir sincère pourrait être accordé à un trafiquant de stupéfiants qui, par un travail durable, participerait sérieusement à la lutte contre la toxicomanie. Le seul fait que le délinquant soit passé aux aveux, de même qu'un comportement correct – voire l'expression de regrets – en cours d'enquête, même marqué de contrition, ne suffisent pas à constituer en soi un repentir sincère, pouvant tout au plus être pris en considération au moment de la fixation de la peine en vertu de l'art. 47 CP (cf. sur tous ces points, TF 6B_891/2009 du 13 janvier 2010 c. 5). 4.1.3 Dans un arrêt du 13 août 2010 (TF 6B_265/ 2010) rendu en matière de stupéfiants, la Haute Cour précise qu'à l'heure où la criminalité est de mieux en mieux organisée, la coopération des prévenus est importante pour démanteler les réseaux, c'est pourquoi une collaboration exceptionnelle de l'intéressé pendant l'enquête doit être prise en compte en sus des autres éléments à décharge pour la fixation de la peine. Dans le cas analysé, le caractère exceptionnel de la collaboration de la prévenue avait été relevé par les enquêteurs notamment parce que, sur la base des aveux sincères de celle-ci, il avait été possible d'arrêter le couple organisateur d'un trafic international de stupéfiants portant au moins sur 30 kg de cocaïne (c. 3.3).</w:t>
      </w:r>
    </w:p>
    <w:p>
      <w:r>
        <w:rPr>
          <w:b/>
        </w:rPr>
        <w:t>E. 4.2</w:t>
      </w:r>
    </w:p>
    <w:p>
      <w:r>
        <w:t>En l'espèce, A.W.________ a séjourné sans droit dans le territoire suisse jusqu'en 2010, sans y exercer aucune activité lucrative licite. De mai 2007 (date de son retour d'Afrique) à mars 2011 (période de son arrestation), soit durant trois ans et demi, il n'a cessé de vendre de la cocaïne. La quantité de drogue pure qu'il a ainsi écoulée (287, 25 g) réalise plus de vingt fois le cas grave (ATF 119 IV 180 c. 2d). Au demeurant, son commerce a été intense de par la fréquence des transactions effectuées. A la tête de sa propre organisation, il s'est approvisionné auprès d'un fournisseur hollandais et de grossistes africains</w:t>
      </w:r>
    </w:p>
    <w:p>
      <w:r>
        <w:t>- 18 - installés en Suisse (pièce 98 p. 3). Il a distribué sa drogue à d'autres revendeurs qu'il fournissait en permanence. Actif depuis plusieurs années (pièce 98 p. 11), il se faisait appeler "[…] le routier […]" (pièce 98, p. 6), en raison de son expérience. Cette activité délictueuse a non seulement permis à A.W.________ d'améliorer considérablement son train de vie en Suisse, mais elle a engendré un bénéfice de plusieurs dizaines de milliers de francs. Les revenus dégagés de cette activité délictueuse dont l'intéressé faisait son métier (JT 1992 IV169) lui ont en outre permis d'envoyer de l'argent en Côte d'Ivoire et d'acheter des voitures qu'il exportait ensuite vers ce pays. Au vu de ce qui précède, la culpabilité de l'appelant est très importante. Le prévenu n'apparaît pas comme un simple dealer de rue poussé par la misère, mais plutôt comme un individu en pleine santé, habitué à sortir le soir pour faire la fête (cf. photos annexes 1 et suivantes du PV aud. 11). N'étant pas lui-même toxicomane, il a agi par pur appât du gain et sans le moindre scrupule. On soulignera que ses infractions sont en concours au sens de l’art. 49 CP (entrée et séjour illégal, trafic de stupéfiants et blanchiment d’argent) et qu'il s'en est pris au bien juridique fondamental qu'est la santé publique. Enfin, on relèvera A.W.________ avait déjà été condamné pour trafic de stupéfiants alors qu'il était mineur. A la décharge de A.W.________, on retiendra son adhésion finale à l'acte d'accusation, les bons renseignements fournis notamment par la direction de la prison, les regrets exprimés, ainsi que des efforts qu'il fait pour s'insérer dans le marché du travail. Si une certaine collaboration avec les enquêteurs doit entrer en ligne de compte, A.W.________ ayant notamment accepté d'identifier formellement deux de ses fournisseurs (pièce 98 pp. 14 et 15), ce sont surtout les écoutes téléphoniques mises en place qui ont permis de cerner son activité délictueuse en matière de stupéfiants et sa complicité avec d'autres dealers (pièce 98 p. 3). Dans le cas particulier, on ne saurait donc parler d'une collaboration extraordinaire à prendre en compte comme</w:t>
      </w:r>
    </w:p>
    <w:p>
      <w:r>
        <w:t>- 19 - élément à décharge pour la fixation de la peine au sens de la jurisprudence fédérale citée (cf. supra; TF du 13 août 2010 6B 265/2010, c.3.3). Au demeurant, l'appelant n'a pas manifesté par ses actes un repentir sincère au sens de l'art. 48 d CP puisque, même s'il avait des velléités de se convertir à une activité lucrative licite, il a néanmoins poursuivi son activité délictueuse jusqu'à son arrestation. Enfin, le grief – non motivé – selon lequel les premiers juges auraient fait coïncider la durée de la peine avec la durée du trafic est dépourvu de consistance. Si l'on tient compte des infractions ici en cause et de la gravité de la faute commise, une peine privative de liberté de 4 ans au moins aurait pu être infligée à A.W.________ (TF du 16 juin 2008 6B_270/2008 et TF 6B_du 30 mai 2011). C'est en tenant compte des éléments à décharge exposés ci-dessus qu'une peine de trois ans et demi a été tenue pour adéquate (jugement p. 13). Cette peine respecte les critères de l'art. 47 CP et doit être confirmée. Supérieure à 36 mois, elle n'est pas compatible avec un sursis, même partiel (art. 42 CP et 43 CP).</w:t>
      </w:r>
    </w:p>
    <w:p>
      <w:r>
        <w:rPr>
          <w:b/>
        </w:rPr>
        <w:t>E. 5</w:t>
      </w:r>
    </w:p>
    <w:p>
      <w:r>
        <w:t>En définitive, l'appel est mal fondé et doit être rejeté aux frais de son auteur (art. 428 al.1 CPP). A cet égard, le dispositif comporte une omission manifeste dans la mesure où la condamnation aux frais n'y figure pas. Il y a lieu de rectifier d'office cette lacune (art. 83 al. 1 CPP) en insérant un chiffre Vbis dans le dispositif du jugement d'appel.</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