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PE10.031345 vom 23. Dezember 2011</w:t>
      </w:r>
    </w:p>
    <w:p>
      <w:r>
        <w:t>VD Tribunal cantonal, 2011-12-23, FR</w:t>
      </w:r>
    </w:p>
    <w:p>
      <w:r>
        <w:rPr>
          <w:b/>
        </w:rPr>
        <w:t xml:space="preserve">Quelle: </w:t>
      </w:r>
      <w:r>
        <w:t>https://mcp.opencaselaw.ch/entscheid/vd_gerichte_PE10.031345</w:t>
      </w:r>
    </w:p>
    <w:p>
      <w:r>
        <w:t>FR: VD_GERICHTE PE10.031345 du 23 décembre 2011</w:t>
      </w:r>
    </w:p>
    <w:p>
      <w:r>
        <w:t>IT: VD_GERICHTE PE10.031345 del 23 dicembre 2011</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Le recours peut être formé notamment pour violation du droit, y compris le déni de justice et le retard injustifié (art. 393 al. 2 let. a CPP). Le recours contre les décisions notifiées par écrit ou oralement est motivé et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Le recours pour déni de</w:t>
      </w:r>
    </w:p>
    <w:p>
      <w:r>
        <w:t>- 5 - justice ou retard injustifié n’est soumis à aucun délai (art. 396 al. 2 CPP). En l’espèce, il y a donc lieu d’entrer en matière sur le recours, qui a été formé devant l’autorité compétente pour retard injustifié, respectivement déni de justice de la part du Ministère public et qui satisfait aux conditions de forme posées par l’art. 385 al. 1 CPP.</w:t>
      </w:r>
    </w:p>
    <w:p>
      <w:r>
        <w:rPr>
          <w:b/>
        </w:rPr>
        <w:t>E. 2</w:t>
      </w:r>
    </w:p>
    <w:p>
      <w:r>
        <w:t>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w:t>
      </w:r>
    </w:p>
    <w:p>
      <w:r>
        <w:rPr>
          <w:b/>
        </w:rPr>
        <w:t>E. 4</w:t>
      </w:r>
    </w:p>
    <w:p>
      <w:r>
        <w:t>novembre 1950 de sauvegarde des droits de l'homme et des libertés fondamentales;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 4.4 ; 130 I 312 c. 5.1 ; TF 1B_219/2011, du 6 juillet 2011, c. 2.1). S’agissant plus particulièrement des autorités pénales, l’art. 5 CPP leur impose d’engager les procédures pénales sans délai et de les mener à terme sans retard injustifié (al. 1) ; lorsque le prévenu est placé en détention, la procédure doit être conduite en priorité (al. 2).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w:t>
      </w:r>
    </w:p>
    <w:p>
      <w:r>
        <w:t>- 6 -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 ATF 130 I 312 c. 5.2; TF 6B_908/2009 du 3 novembre 2010, c. 3.1 non publié à l’ATF 136 IV 188). Doivent être prioritaires non seulement les causes où le prévenu est en détention, mais aussi celles où il est atteint par la maladie ou par l’âge (TF 6B_498/2009 du 29 septembre 2009, c. 6.4). Une procédure qui a duré, sur le plan cantonal, plus de onze ans, sans compter la communication du jugement aux intéressés, a été considérée comme excédant le délai raisonnable prévu à l’art. 6 par. 1 CEDH ; de même, une procédure ayant duré huit ans et demi devant une seule instance a été jugée excessive (Hottelier, in Kuhn/Jeanneret (éd.), Commentaire romand, Code de procédure pénale suisse, Bâle 2011, n. 13 ad art. 5 CPP, pp. 32 s., et les références citées). Si la durée de l’ensemble de la procédure n’apparaît prima facie pas excessive, il peut cependant arriver que le principe de célérité soit violé du fait que l’autorité est restée trop longtemps inactive pendant l’une de ses phases (Summers, in Niggli/Heer/Wiprächtiger (éd.), Basler Kommentar, Schweizerische Strafprozessordnung, Jugendstrafprozessordnung, Bâle 2011, n. 8 ad art. 5 CPP, pp. 69 s.). A cet égard, le Tribunal fédéral n’a pas jugé excessive la durée de 19 mois qui a séparé la lecture orale du jugement – dans une affaire de meurtre – d’avec la reddition des motifs écrits (TF 6S.74/2007 du 6 février 2008, c. 3.2). b) En l’espèce, la recourante déclare qu’ « il ne s’agit pas de mettre en évidence tel ou tel retard particulier, lié à une situation momentanée, mais bien un rythme – ou plutôt une absence de rythme – inacceptable donné à l’enchaînement des opérations d’instruction » (no 7, p. 5) ; elle invoque également que les arguments relevés par le procureur dans son courrier du 5 octobre 2011 – relatif à son agenda – sont irrecevables au regard de la jurisprudence, et que le fait d’entendre le</w:t>
      </w:r>
    </w:p>
    <w:p>
      <w:r>
        <w:t>- 7 - premier témoin après l’audition des parties – ce qui la porte à treize mois après le dépôt de la plainte − n’est pas admissible au regard du principe de célérité ; enfin, elle fait grief au procureur d’avoir laissé son courrier du 14 octobre 2011 sans réponse. Ces reproches tombent à faux. En effet, le juge instruction n’est pas resté inactif. A réception de la plainte, il a donné mandat à la police d’investiguer et d’entendre X.________, ce qui a été fait ; par la suite, il a fait fixer une audience de conciliation. Certes, il faut relever avec la recourante que le délai de convocation de cette audience (cinq mois et demi) aurait pu être plus court. Toutefois, la cause ne peut pas être rangée – de loin pas – parmi les causes prioritaires au sens où l’entend la loi et la jurisprudence, X.________ n’étant pas détenu, malade ou âgé ; en outre, et surtout, la recourante n’a pas fait savoir au procureur qu’elle considérait ce délai comme excessif, ni à réception de la convocation ni durant le délai qui séparait cette réception de la tenue de l’audience. La recourante reconnaît du reste elle-même que, ce faisant, elle a couvert l’éventuel vice. C’est dire qu’elle ne peut pas, de bonne foi, s’en plaindre ultérieurement. Quoi qu’il en soit, la conciliation ayant été tentée en vain, le procureur a adressé aux parties un mandat de comparution aux fins de les entendre lors d’une audience appointée quatre mois plus tard. Ce délai, s’il peut paraître long à la recourante, n’est cependant pas déraisonnable au sens précisé plus haut. Il est vrai que le procureur n’a pas répondu au courrier du 14 octobre 2011 de la recourante, dans lequel elle sollicitait la convocation d’un témoin le même jour que l’audition des parties, voire immédiatement après. Toutefois, ce défaut de réponse ne peut s’apparenter à un déni de justice, le procureur ayant déjà à deux reprises écrit au conseil de la recourante pour lui dire que les témoins seraient entendus après l’audition des parties, si nécessaire. A cet égard, il convient de rappeler que les autorités pénales ne doivent mettre en œuvre que les preuves qui sont propres à établir la vérité (art. 139 al. 1 CPP), et qu’il n’y a pas lieu d’administrer des preuves sur des faits non pertinents, notoires, connus de l’autorité pénale ou déjà suffisamment prouvés (art. 139 al. 2 CPP). Il</w:t>
      </w:r>
    </w:p>
    <w:p>
      <w:r>
        <w:t>- 8 - s’ensuit que le procureur peut, sans arbitraire, décider d’entendre des témoins, et d’établir la liste de ceux-ci qu’une fois qu’il a lui-même procédé à l’audition du prévenu et de la partie plaignante. C’est en effet après cette audition qu’il peut déterminer quels sont les faits contestés et quels sont les témoins qui sont susceptibles de le renseigner sur ces faits. 3. Il résulte de ce qui précède, que le recours, manifestement mal fondé, doit être rejeté, sans autres échanges d’écritures (art. 390 al. 2 CPP). Les frais de la procédure de recours, constitués de l’émolument d’arrêt (art. 422 al. 1 CPP), par 770 fr. (art. 20 al. 1 TFJP [tarif des frais judiciaires pénaux, RSV 312.03.1]), seront mis à la charge de la recourante (art. 428 al. 1 CPP). Par ces motifs, la Chambre des recours pénale, statuant à huis clos : I. Rejette le recours. II. Dit que les frais de la procédure de recours, par 770 fr. (sept cent septante francs), sont mis à la charge de K.________. III. Déclare le présent arrêt exécutoire. La vice-présidente : Le greffier : Du L'arrêt qui précède, dont la rédaction a été approuvée à huis clos, est notifié, par l'envoi d'une copie complète, à : - M. Gilles Monnier, avocat (pour K.________), - Ministère public central,</w:t>
      </w:r>
    </w:p>
    <w:p>
      <w:r>
        <w:t>- 9 -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