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PE10.030572 vom 18. Februar 2011</w:t>
      </w:r>
    </w:p>
    <w:p>
      <w:r>
        <w:t>VD Tribunal cantonal, 2011-02-18, FR</w:t>
      </w:r>
    </w:p>
    <w:p>
      <w:r>
        <w:rPr>
          <w:b/>
        </w:rPr>
        <w:t xml:space="preserve">Quelle: </w:t>
      </w:r>
      <w:r>
        <w:t>https://mcp.opencaselaw.ch/entscheid/vd_gerichte_PE10.030572</w:t>
      </w:r>
    </w:p>
    <w:p>
      <w:r>
        <w:t>FR: VD_GERICHTE PE10.030572 du 18 février 2011</w:t>
      </w:r>
    </w:p>
    <w:p>
      <w:r>
        <w:t>IT: VD_GERICHTE PE10.030572 del 18 febbraio 2011</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w:t>
      </w:r>
    </w:p>
    <w:p>
      <w:r>
        <w:t>- 4 -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a admis les faits qui lui sont reprochés et ne conteste pas l’existence de présomptions sérieuses de culpabilité à son encontre (recours, p. 3). Il conteste en revanche l’existence d’un risque de fuite, faisant valoir qu’il a tout mis en oeuvre pour que la lumière soit faite sur les deux brigandages qui lui sont reprochés et que la procédure puisse ainsi avancer rapidement, de sorte que si le risque de fuite est possible, il ne pourrait toutefois être considéré comme probable, condition sine qua non pour que la détention provisoire soit prolongée (recours, p. 3-4). Selon la jurisprudence du Tribunal fédéral, le risque de fuite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w:t>
      </w:r>
    </w:p>
    <w:p>
      <w:r>
        <w:t>- 5 -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in Niggli/Heer/Wiprächtiger (éd.), Basler Kommentar, Schweizerische Strafprozessordnung, Bâle 2011, n. 5 ad art. 221 CPP, pp. 1460 s. et les arrêts cités; Schmocker, in Kuhn/Jeanneret (éd.), Commentaire romand, Code de procédure pénale suisse, Bâle 2011, n. 12 ad art. 221 CPP, p. 1026; TF 1B_374/2011 du 3 août 2011, c. 3.1; TF 1B_422/2010 du 11 janvier 2011, c. 2.1). En l’espèce, le recourant est domicilié en France, à Besançon, où se trouve son amie et l’enfant du couple. Il n’a aucune attache avec la Suisse, où il a été appréhendé à l’occasion d’un déplacement. La procédure simplifiée dont il a demandé l’exécution au Ministère public (cf. art. 358 al. 1 CPP), qui suppose que celui-ci ne requière pas une peine privative de liberté supérieure à cinq ans (cf. art. 358 al. 2 CPP), a été ouverte (cf. art. 359 CPP) par ordonnance du 27 janvier 2012 et les négociations (cf. art. 360 CPP) sont en cours. Si elles devaient échouer, le Ministère public engagerait l’accusation selon la procédure ordinaire (art. 324 ss CPP), qui est susceptible de déboucher sur une condamnation à une peine privative de liberté d’une durée plus élevée que celle de la détention provisoire déjà subie. En effet, le prévenu est mis en cause pour avoir commis avec un complice deux brigandages avec une arme, pour avoir prélevé de l’argent sur le compte de ses victimes à un distributeur de billets et pour avoir quelques jours après les faits repris contact avec l’une des victimes pour l’amener à lui remettre encore de l’argent. Quand bien même la circonstance aggravante de l’art. 140 ch. 2 CP ne serait pas retenue dans l’hypothèse où le prévenu se serait muni d’une arme factice, celle de l'art. 140 ch. 3 CP, à savoir l'aggravante de la bande, est envisageable, le recourant ayant agi avec un complice. En outre, le</w:t>
      </w:r>
    </w:p>
    <w:p>
      <w:r>
        <w:t>- 6 - concours des deux cas de brigandage (art. 140 CP) et du cas d’extorsion (art. 156 CP) est à l’évidence susceptible – indépendamment même de la séquestration (art. 183 CP) et de l’utilisation frauduleuse d’un ordinateur (art. 147 CP), dont le recourant fait valoir qu’elles pourraient être absorbées par les infractions précitées (recours, p. 10) – de valoir au recourant une condamnation à une peine privative de liberté de sensiblement plus d'une année. Au vu de l’absence d’attaches du recourant avec la Suisse et de l’importance de la peine dont le prévenu est menacé, force est ainsi de constater qu’il existe un risque de fuite sérieux et concret, de sorte qu’il n’y a pas lieu d’examiner plus avant la réalisation des risques de collusion et de réitération. c) Le recourant reproche au Tribunal des mesures de contrainte de ne pas avoir admis que des mesures de substitution, au sens de l’art. 237 CPP, pourraient être ordonnées en lieu et place de la détention provisoire (recours, p. 4-5). Dans sa précédente ordonnance de prolongation de la détention provisoire du 7 novembre 2011, auquel il s’est référé dans son ordonnance du 7 février 2012 présentement attaquée, le Tribunal de mesures de contrainte a exposé que si le recourant avait affirmé être disposé à fournir des sûretés (cf. art. 237 al. 2 let. a CPP), il n’avait précisé aucun montant de caution et n’avait pas donné davantage la preuve de sa capacité ou de la capacité d’un tiers caution à verser ce montant. Cette appréciation n’est en rien critiquable, le recourant ne pouvant se borner à cet égard à se déclarer surpris « que ni le Ministère public, ni le Tribunal des mesures de contrainte, n’ait proposé un montant de caution, libre ensuite au recourant de s’en acquitter ou non, au gré de ses possibilités ». Dans sa précédente ordonnance de prolongation de la détention provisoire du 7 novembre 2011, le Tribunal de mesures de contrainte avait également considéré que la proposition du recourant de se présenter régulièrement à un service administratif (cf. art. 237 al. 2 let. d CPP) ne pouvait être admise dès lors que le recourant devrait faire un trajet conséquent pour pouvoir se rendre aux contrôles. Le recourant</w:t>
      </w:r>
    </w:p>
    <w:p>
      <w:r>
        <w:t>- 7 - conteste cette appréciation, relevant que le trajet entre son domicile de Besançon et un service administratif de contrôle à la frontière, d’un peu plus d’une heure, ne peut être considéré comme conséquent. Toutefois, force est de constater que l’obligation de se présenter régulièrement à un service administratif ne suffit pas à garantir la comparution du recourant devant ses juges, dès lors que si le recourant, domicilié en France, avait l’intention de se soustraire à la poursuite pénale en Suisse, il ne franchirait plus la frontière, que ce soit pour se présenter à un service administratif ou pour comparaître devant les autorités de poursuite pénale. d) Le recourant se plaint d’une violation du principe de la proportionnalité (art. 31 al. 3 Cst. [Constitution fédérale du 18 avril 1999; RS 101] et 212 al. 3 CPP) (recours, p. 7).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ATF 132 I 21 c. 4.1; TF 1B_411/2011 du 31 août 2011, c. 4.1). En l’espèce, comme on l’a vu (cf. c. 2b supra), le recourant risque une condamnation à une peine privative de liberté d’une durée plus élevée que celle de la détention provisoire déjà subie, de sorte que le principe de la proportionnalité est respecté. e) Le recourant soutient que la détention provisoire ne serait plus proportionnée en raison de la violation du principe de la célérité (art.</w:t>
      </w:r>
    </w:p>
    <w:p>
      <w:r>
        <w:rPr>
          <w:b/>
        </w:rPr>
        <w:t>E. 5</w:t>
      </w:r>
    </w:p>
    <w:p>
      <w:r>
        <w:t>par. 3 CEDH, ne devrait pas excéder quelques semaines, voire quelques mois (TF 1B_684/2011 du 21 décembre 2011 c. 3.1; cf. TF 1B_419/2011 du 13 septembre 2011 c. 2.1 pour les durées jugées conformes au principe de la célérité). En l’espèce, on ne constate pas de manquement particulièrement grave au principe de la célérité qui ferait apparaître que l'autorité de poursuite pénale ne serait plus en mesure de conduire la procédure à chef dans un délai raisonnable. L’avis de prochaine clôture (art. 318 al. 1 CPP) a été adressé le 9 septembre 2011 aux parties avec délai au 11 octobre 2011, prolongé au 31 octobre 2011, et une ordonnance concernant la mise en œuvre de la procédure simplifiée a été rendue le 27 janvier 2012. Le même jour, le Ministère public a fixé un délai de dix jours aux parties plaignantes pour annoncer leurs prétentions civiles et les indemnités procédurales réclamées, comme l’impose l’art. 359 al. 2 CPP. Les négociations en vue de l’exécution de la procédure simplifiée sont en cours. Dans ces conditions, et compte tenu du fait que la durée de la détention provisoire demeure proportionnée au regard de la peine encourue (cf. c. 2d supra), le principe de la célérité apparaît encore respecté.</w:t>
      </w:r>
    </w:p>
    <w:p>
      <w:r>
        <w:t>- 9 - f) En définitive, il apparaît que les conditions d’une prolongation de la détention provisoire, telle qu’ordonnée par l’ordonnance attaquée, sont respectées en l’espèce. 3. 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C.________ est fixée à 680 fr. 40 (six cent huitante francs et quarante centimes).</w:t>
      </w:r>
    </w:p>
    <w:p>
      <w:r>
        <w:t>- 10 - IV. Les frais d'arrêt, par 990 fr. (neuf cent nonante francs), ainsi que l'indemnité due au défenseur d'office de C.________, par 680 fr. 40 (six cent huitante francs et quarante centimes), sont mis à la charge de ce dernier. V. Le remboursement à l'Etat de l'indemnité allouée au chiffre III ci-dessus sera exigible pour autant que la situation économique de C.________ se soit améliorée. VI. Le présent arrêt est exécutoire. Le président : La greffière : Du L'arrêt qui précède, dont la rédaction a été approuvée à huis clos, est notifié, par l'envoi d'une copie complète, à : - Mme Claire-Lise Oswald, avocate (pour C.________), - Ministère public central, et communiqué à : - M. Michel Bise, avocat (pour D.________), - Mme Lise-Marie Gonzalez Pennec, avocate (pour N.________),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