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PE10.029935 vom 7. Dezember 2011</w:t>
      </w:r>
    </w:p>
    <w:p>
      <w:r>
        <w:t>VD Tribunal cantonal, 2011-12-07, FR</w:t>
      </w:r>
    </w:p>
    <w:p>
      <w:r>
        <w:rPr>
          <w:b/>
        </w:rPr>
        <w:t xml:space="preserve">Quelle: </w:t>
      </w:r>
      <w:r>
        <w:t>https://mcp.opencaselaw.ch/entscheid/vd_gerichte_PE10.029935</w:t>
      </w:r>
    </w:p>
    <w:p>
      <w:r>
        <w:t>FR: VD_GERICHTE PE10.029935 du 7 décembre 2011</w:t>
      </w:r>
    </w:p>
    <w:p>
      <w:r>
        <w:t>IT: VD_GERICHTE PE10.029935 del 7 dicembre 2011</w:t>
      </w:r>
    </w:p>
    <w:p>
      <w:pPr>
        <w:pStyle w:val="Heading2"/>
      </w:pPr>
      <w:r>
        <w:t>Erwägungen</w:t>
      </w:r>
    </w:p>
    <w:p>
      <w:r>
        <w:rPr>
          <w:b/>
        </w:rPr>
        <w:t>E. 38</w:t>
      </w:r>
    </w:p>
    <w:p>
      <w:r>
        <w:t>c. 2a). 3.2 En l'espèce, le tribunal a considéré que s'il y avait bel et bien eu une altercation physique entre les deux intéressées à l'heure et à l'endroit précités, il n'était toutefois pas possible de déterminer comment avait débuté la dispute, en d'autres termes qui avait donné le premier coup, qui en était la principale responsable et la nature des coups échangés. Ne pouvant pas retenir avec certitude que W.________ s'en était prise violemment et gratuitement à sa belle-fille, le premier juge l'a libérée au bénéfice du doute. La Cour d'appel pénale, en se fondant sur les pièces du dossier et après avoir entendu chacune des protagonistes, est d'avis qu'il convient d'ajouter foi aux accusations de la plaignante. La cour de céans fonde sa conviction sur les motifs suivants.</w:t>
      </w:r>
    </w:p>
    <w:p>
      <w:r>
        <w:t>- 14 - Tout d'abord, on relèvera que malgré la mauvaise entente qui régnait entre les parties depuis longtemps déjà – ce qui est admis (cf. pièce 10/1 p. 3 et pièces 11, 17 et 42/1) –, W.________ s'est rendue au bar [...] pour régler des factures concernant son fils, alors qu'elle pouvait s'attendre à y rencontrer sa belle-fille, qui travaille dans cet établissement en qualité de serveuse (pièce 11). C'est donc elle qui est venue chercher la confrontation. Ensuite, il est admis que c'est O.________ qui a appelé la police (PV aud. 2, p. 2). Or, dans l'hypothèse où, comme le prétend la prévenue, la jeune femme serait à l'origine de l'altercation et où elle l'aurait rouée de coups et étouffée dans l'intention de la tuer sans qu'elle puisse se défendre, on voit mal pourquoi c'est elle qui aurait contacté la police pour se dénoncer. On rappellera également que la plaignante était enceinte de quatre mois au moment des faits, ce qui rend peu vraisemblable une agression de sa part, telle que décrite par l'intimée, qui affirme que sa belle-fille l'aurait traînée par les cheveux, l'aurait jetée à terre et se serait assise sur elle pendant une quinzaine de minutes (PV aud. 2). A cela s'ajoute que si O.________ a déposé plainte quelques heures seulement après les faits, W.________ n'a, quant à elle, porté plainte que le lendemain, après avoir été convoquée par la police (pièce 10/1, p. 6) et à l'issue de son audition comme prévenue. S'agissant encore des blessures subies par les parties, le premier juge indique que les certificats médicaux figurant au dossier (pièces 6 et 7) ne se prononcent pas sur leur causalité (jugt, p. 11 in intio). Ce constat est exact, mais il n'exclut pas l'existence des coups. On remarquera d'ailleurs que les blessures constatées dans le certificat du 19 novembre 2010 corroborent les déclarations claires et précises de O.________ (pièce 42/1, p. 2); en particulier, l'hématome sur son bras droit, visible sur la photo figurant au dossier sous pièce 14, peut tout à fait avoir été provoqué par un coup de parapluie, comme la jeune femme l'a affirmé</w:t>
      </w:r>
    </w:p>
    <w:p>
      <w:r>
        <w:t>- 15 - (ibidem). En revanche, ces constatations sont plus difficilement compatibles avec la version présentée par la prévenue. Enfin et surtout, le témoin J.________, dont les propos tenus en cours d'instruction et aux débats sont cohérents, a clairement expliqué, après avoir admis qu'il n'était pas présent au moment des faits litigieux, que par le passé, sa mère s'en était prise plusieurs fois à sa femme tant verbalement que physiquement. Le premier juge a considéré que les explications de ce témoin devaient être appréciées avec la plus grande prudence, vu ses relations familiales avec les deux intéressées et la mauvaise relation qu'il entretenait avec sa mère. La cour de céans, s'écartant de l'appréciation du tribunal, est d'avis que rien ne permet de douter de l'objectivité dudit témoin. Bien au contraire, le fait que J.________, qui n'a pas d'intérêt particulier à l'issue de la cause, ait des liens de parenté étroits avec l'une et l'autre des parties permet de tenir son témoignage pour probant. Au surplus, on remarquera que la prévenue a requis l'assignation et l'audition de son fils à l'audience de première instance en qualité de témoin (pièce 35) et qu'après les faits litigieux, ce dernier a continué à s'occuper des affaires de sa mère (PV aud. 4, p. 2 in fine), ce qui démontre que leur relation, certes tendue, n'était pas si mauvaise que l'a retenu le tribunal (jugt, p. 10). A cela s'ajoute que l'intimée a finalement renoncé à faire entendre les époux [...] (pièces 36 et 37; cf. jugt, p. 2, d'où il ressort que la prévenue n'a soulevé aucune réquisition d'entrée de cause), dont l'audition aurait permis, selon elle, d'attester des violences conjugales au sein du couple J.________, à l'origine, toujours selon elle, des blessures subies par l'appelante (pièce 31). On peut également mentionner qu'aux débats d'appel, la plaignante a manifesté une émotion qui a paru sincère et une retenue qui la rend crédible. Au vu de tous ces éléments concordants, la cour de céans estime que la version des faits de O.________ doit être privilégiée par rapport à celle de W.________. S'il n'existe pas de preuve absolue, des indices sont toutefois des preuves qui, ensemble, forment en l’espèce un</w:t>
      </w:r>
    </w:p>
    <w:p>
      <w:r>
        <w:t>- 16 - tout convaincant. En effet, l'ensemble des constatations observées ci- avant, l'attitude de W.________, ses propos exagérés et peu crédibles et le témoignage de J.________ permettent d'exclure tout doute sérieux quant au fait que c'est bien la prévenue qui est à l'origine de l'altercation litigieuse et que la plaignante s'est contentée, peut-être, de riposter à l'attaque de sa belle-mère. En conséquence, le tribunal a apprécié de manière erronée les preuves administrées en cours d'enquête et aux débats en concluant qu'il était impossible de déterminer comment avait débuté l'altercation et qui en était la principale responsable. Le moyen tiré d'une constatation erronée des faits est donc bien fondé et doit être admis. 4 Cela étant, il y a lieu de déterminer si les blessures subies par O.________ sont constitutives de lésions corporelles simples ou de voies de fait. 4.1 L'infraction de lésions corporelles simples prévue à l'art. 123 CP réprime les lésions portées au corps humain et les atteintes à la santé qui ne peuvent être qualifiées de graves au sens de l'art. 122 CP. Il s'agit d'une infraction intentionnelle de résultat, qui se caractérise précisément par les lésions corporelles que l'auteur veut infliger ou accepte de provoquer (Corboz, Les infractions en droit suisse, vol. I, Berne 2010, n. 1 et 3 ad art. 123 CP). L'art. 123 CP vise en particulier toutes les dégradations du corps humain, que la lésion soit externe ou interne, à la suite d’un choc ou de l’emploi d’un objet, telles les fractures sans complications, les foulures, les coupures et les hématomes (Corboz, op. cit., n. 7 ss ad art. 123 CP; ATF 119 IV 25 c. 2a; ATF 107 IV 40 c. 5c). Lorsqu'il s'agit de meurtrissures, d'écorchures, de griffures et de contusions provoquées par des coups ou d'autres causes du même genre, la distinction entre les voies de fait et les lésions corporelles simples est délicate. Il faut tenir compte de l'importance de la douleur provoquée afin de déterminer s'il s'agit de lésions corporelles simples ou</w:t>
      </w:r>
    </w:p>
    <w:p>
      <w:r>
        <w:t>- 17 - de voies de fait (Corboz, op. cit., n. 11 ad. art. 123 CP; ATF 107 IV 40, précité). 4.2 En l'espèce, la plaignante a subi deux hématomes, l'un de 2 cm sur 1 cm sur la face latérale du bras droit, l'autre de 10 cm sur 7 cm sur la face latérale du bras gauche, et une contracture cervicale bilatérale présentant une limitation de la rotation de la tête. Ces lésions ne sont certes pas particulièrement graves, mais dépassent le cadre de simples voies de fait. W.________ doit donc être reconnue coupable d'infraction de lésions corporelles simples au sens de l'art. 123 CP. 5. Il reste à fixer la peine. Les faits ne sont pas en soi d'une grande gravité, mais ils ont néanmoins causé des blessures à O.________ qui ont nécessité un arrêt de travail de deux jours (pièce 7/1) et ont fortement effrayé la jeune femme, alors enceinte de quatre mois. W.________ a persisté à nier les faits et n'a pas manifesté le moindre regret, même après que les policiers l'ont informée que sa belle-fille était enceinte, à supposer qu'elle n'en ait eu connaissance qu'à ce moment-là. La prévenue ne remet en aucune manière son propre comportement en cause; elle rejette au contraire la faute sur la jeune femme, allant jusqu'à affirmer, comme on l'a vu ci- avant, que les blessures que celle-ci a subies seraient dues à des violences conjugales. Rien ne permet de dire qu'elle a été provoquée. D'autre part, W.________ a eu un comportement agressif unique, à notre connaissance. EIle n'a pas d'antécédents, de sorte qu'on peut espérer que cette infraction restera isolée. En ce sens, une peine modérée assortie du sursis est possible. En définitive, une peine pécuniaire de dix jours-amende (art. 34 CP) est adéquate pour réprimer le comportement de la prévenue (ATF</w:t>
      </w:r>
    </w:p>
    <w:p>
      <w:r>
        <w:t>- 18 - 134 IV 82 c. 4.1; TF 6B_541/2007 du 13 mai 2008). Il convient de fixer à 10 fr., soit le minimum prévu par la jurisprudence (ATF 135 IV 180, c. 1.4.2), le montant du jour-amende, vu la situation financière de l'intimée, qui est à l'AI. 6. 6.1 Concernant les conclusions civiles prises par O.________, l'art. 119 al. 2 let. b CPP prévoit que le lésé peut, dans la déclaration par laquelle il exprime vouloir participer à la procédure pénale comme demandeur au pénal ou au civil, faire valoir des conclusions civiles déduites de l’infraction (action civile) par adhésion à la procédure pénale. Selon l'art. 123 CPP, la partie plaignante chiffre, dans la mesure du possible, ses conclusions civiles dans sa déclaration en vertu de l'art. 119 CPP et les motive par écrit; elle cite les moyens de preuves qu’elle entend invoquer (al. 1). Le calcul et la motivation des conclusions civiles doivent être présentés au plus tard durant les plaidoiries (al. 2). En application de l'art. 126 CPP, le tribunal statue également sur les conclusions civiles présentées lorsqu’il rend un verdict de culpabilité à l’encontre du prévenu (al. 1 let. a). Il renvoie la partie plaignante à agir par la voie civile notamment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(al. 3). 6.2 En l'espèce, O.________ a demandé la somme de 10'000 fr. "à titre de dédommagement", sans toutefois indiquer à quoi correspond ce montant, se limitant à préciser que la prévenue "doit comprendre qu'elle ne doit pas mentir" (jugt, p. 5). Elle ne prétend pas avoir eu des frais médicaux non remboursés ou avoir subi un autre dommage matériel. Si elle entend par là demander une réparation du tort moral, le montant</w:t>
      </w:r>
    </w:p>
    <w:p>
      <w:r>
        <w:t>- 19 - réclamé est clairement excessif pour deux hématomes et une contracture cervicale, et les éléments du dossier ne permettent par ailleurs pas de déterminer si et dans quelle mesure l'appelante aurait particulièrement souffert. C'est donc à juste titre que le premier juge a renvoyé la plaignante à agir par la voie civile. 7. En conclusion, l'appel de O.________ est admis pour l'essentiel et le jugement attaqué modifié dans le sens des considérants qui précèdent. 8. Vu l'issue de la cause, W.________ doit supporter l'entier des frais de première instance (art. 426 al. 1, 1ère phrase, CPP). Quant aux frais de la procédure d'appel, ils seront laissés à la charge de l'Etat. L'appelante n'a, pour le surplus, pas fait valoir de prétention en dépens (art.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